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ABAF1" w14:textId="6B94FAC8" w:rsidR="00DF4D2E" w:rsidRDefault="00DF4D2E" w:rsidP="00547379">
      <w:pPr>
        <w:autoSpaceDE w:val="0"/>
        <w:autoSpaceDN w:val="0"/>
        <w:adjustRightInd w:val="0"/>
        <w:spacing w:after="0" w:line="240" w:lineRule="auto"/>
        <w:rPr>
          <w:rFonts w:ascii="Arial" w:hAnsi="Arial" w:cs="Arial"/>
          <w:b/>
          <w:bCs/>
          <w:color w:val="922790"/>
          <w:sz w:val="36"/>
          <w:szCs w:val="24"/>
        </w:rPr>
      </w:pPr>
      <w:r>
        <w:rPr>
          <w:b/>
          <w:noProof/>
          <w:sz w:val="32"/>
          <w:szCs w:val="32"/>
          <w:lang w:eastAsia="en-GB"/>
        </w:rPr>
        <w:drawing>
          <wp:inline distT="0" distB="0" distL="0" distR="0" wp14:anchorId="4B4411C7" wp14:editId="0D6AEE0A">
            <wp:extent cx="2981325" cy="90233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1325" cy="902335"/>
                    </a:xfrm>
                    <a:prstGeom prst="rect">
                      <a:avLst/>
                    </a:prstGeom>
                    <a:noFill/>
                  </pic:spPr>
                </pic:pic>
              </a:graphicData>
            </a:graphic>
          </wp:inline>
        </w:drawing>
      </w:r>
      <w:r>
        <w:rPr>
          <w:rFonts w:ascii="Arial" w:hAnsi="Arial" w:cs="Arial"/>
          <w:b/>
          <w:bCs/>
          <w:color w:val="922790"/>
          <w:sz w:val="36"/>
          <w:szCs w:val="24"/>
        </w:rPr>
        <w:t xml:space="preserve"> </w:t>
      </w:r>
      <w:bookmarkStart w:id="0" w:name="_GoBack"/>
      <w:bookmarkEnd w:id="0"/>
      <w:r>
        <w:rPr>
          <w:rFonts w:ascii="Arial" w:hAnsi="Arial" w:cs="Arial"/>
          <w:b/>
          <w:bCs/>
          <w:color w:val="922790"/>
          <w:sz w:val="36"/>
          <w:szCs w:val="24"/>
        </w:rPr>
        <w:t xml:space="preserve">                     </w:t>
      </w:r>
      <w:r>
        <w:rPr>
          <w:b/>
          <w:noProof/>
          <w:sz w:val="32"/>
          <w:szCs w:val="32"/>
          <w:lang w:eastAsia="en-GB"/>
        </w:rPr>
        <w:drawing>
          <wp:inline distT="0" distB="0" distL="0" distR="0" wp14:anchorId="00B862EC" wp14:editId="3CB7A07F">
            <wp:extent cx="1298575" cy="792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8575" cy="792480"/>
                    </a:xfrm>
                    <a:prstGeom prst="rect">
                      <a:avLst/>
                    </a:prstGeom>
                    <a:noFill/>
                  </pic:spPr>
                </pic:pic>
              </a:graphicData>
            </a:graphic>
          </wp:inline>
        </w:drawing>
      </w:r>
    </w:p>
    <w:p w14:paraId="52731219" w14:textId="77777777" w:rsidR="00DF4D2E" w:rsidRPr="00CD5871" w:rsidRDefault="00DF4D2E" w:rsidP="00DF4D2E">
      <w:pPr>
        <w:rPr>
          <w:rFonts w:ascii="Calibri" w:eastAsia="Calibri" w:hAnsi="Calibri" w:cs="Times New Roman"/>
        </w:rPr>
      </w:pPr>
      <w:r w:rsidRPr="00CD5871">
        <w:rPr>
          <w:rFonts w:ascii="Calibri" w:eastAsia="Calibri" w:hAnsi="Calibri" w:cs="Times New Roman"/>
          <w:noProof/>
          <w:lang w:eastAsia="en-GB"/>
        </w:rPr>
        <w:drawing>
          <wp:inline distT="0" distB="0" distL="0" distR="0" wp14:anchorId="238A2253" wp14:editId="05538A72">
            <wp:extent cx="215349" cy="215349"/>
            <wp:effectExtent l="0" t="0" r="0" b="0"/>
            <wp:docPr id="4" name="Picture 4" descr="V:\LGA\Pensions\Team\Firefighters\Scheme Advisory Board\Logos\Bullet point logos\Firefighters Pension England_SAB_Blue Bullet 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GA\Pensions\Team\Firefighters\Scheme Advisory Board\Logos\Bullet point logos\Firefighters Pension England_SAB_Blue Bullet Poin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668" cy="241668"/>
                    </a:xfrm>
                    <a:prstGeom prst="rect">
                      <a:avLst/>
                    </a:prstGeom>
                    <a:noFill/>
                    <a:ln>
                      <a:noFill/>
                    </a:ln>
                  </pic:spPr>
                </pic:pic>
              </a:graphicData>
            </a:graphic>
          </wp:inline>
        </w:drawing>
      </w:r>
      <w:r w:rsidRPr="00CD5871">
        <w:rPr>
          <w:rFonts w:ascii="Calibri" w:eastAsia="Calibri" w:hAnsi="Calibri" w:cs="Times New Roman"/>
        </w:rPr>
        <w:t xml:space="preserve"> </w:t>
      </w:r>
      <w:r w:rsidRPr="00CD5871">
        <w:rPr>
          <w:rFonts w:ascii="Impact" w:eastAsia="Calibri" w:hAnsi="Impact" w:cs="Impact"/>
          <w:color w:val="244B9A"/>
          <w:sz w:val="38"/>
          <w:szCs w:val="38"/>
        </w:rPr>
        <w:t>Compliance</w:t>
      </w:r>
    </w:p>
    <w:p w14:paraId="3A1771D6" w14:textId="77777777" w:rsidR="00DF4D2E" w:rsidRDefault="00DF4D2E" w:rsidP="00547379">
      <w:pPr>
        <w:autoSpaceDE w:val="0"/>
        <w:autoSpaceDN w:val="0"/>
        <w:adjustRightInd w:val="0"/>
        <w:spacing w:after="0" w:line="240" w:lineRule="auto"/>
        <w:rPr>
          <w:rFonts w:ascii="Arial" w:hAnsi="Arial" w:cs="Arial"/>
          <w:b/>
          <w:bCs/>
          <w:color w:val="922790"/>
          <w:sz w:val="36"/>
          <w:szCs w:val="24"/>
        </w:rPr>
      </w:pPr>
    </w:p>
    <w:p w14:paraId="53F9CDA9" w14:textId="1A228A11" w:rsidR="00246906" w:rsidRPr="00547379" w:rsidRDefault="00246906" w:rsidP="00547379">
      <w:pPr>
        <w:jc w:val="center"/>
        <w:rPr>
          <w:rFonts w:ascii="Impact" w:hAnsi="Impact" w:cs="Impact"/>
          <w:color w:val="244B9A"/>
          <w:sz w:val="40"/>
          <w:szCs w:val="38"/>
        </w:rPr>
      </w:pPr>
      <w:r w:rsidRPr="00547379">
        <w:rPr>
          <w:rFonts w:ascii="Impact" w:hAnsi="Impact" w:cs="Impact"/>
          <w:color w:val="244B9A"/>
          <w:sz w:val="40"/>
          <w:szCs w:val="38"/>
        </w:rPr>
        <w:t xml:space="preserve">Amendments to the </w:t>
      </w:r>
      <w:r w:rsidR="00CD740D" w:rsidRPr="00547379">
        <w:rPr>
          <w:rFonts w:ascii="Impact" w:hAnsi="Impact" w:cs="Impact"/>
          <w:color w:val="244B9A"/>
          <w:sz w:val="40"/>
          <w:szCs w:val="38"/>
        </w:rPr>
        <w:t>Firefighters</w:t>
      </w:r>
      <w:r w:rsidR="00EF0E72" w:rsidRPr="00547379">
        <w:rPr>
          <w:rFonts w:ascii="Impact" w:hAnsi="Impact" w:cs="Impact"/>
          <w:color w:val="244B9A"/>
          <w:sz w:val="40"/>
          <w:szCs w:val="38"/>
        </w:rPr>
        <w:t>’</w:t>
      </w:r>
      <w:r w:rsidR="00CD740D" w:rsidRPr="00547379">
        <w:rPr>
          <w:rFonts w:ascii="Impact" w:hAnsi="Impact" w:cs="Impact"/>
          <w:color w:val="244B9A"/>
          <w:sz w:val="40"/>
          <w:szCs w:val="38"/>
        </w:rPr>
        <w:t xml:space="preserve"> Pension Scheme</w:t>
      </w:r>
      <w:r w:rsidR="00670D05" w:rsidRPr="00547379">
        <w:rPr>
          <w:rFonts w:ascii="Impact" w:hAnsi="Impact" w:cs="Impact"/>
          <w:color w:val="244B9A"/>
          <w:sz w:val="40"/>
          <w:szCs w:val="38"/>
        </w:rPr>
        <w:t>s</w:t>
      </w:r>
    </w:p>
    <w:p w14:paraId="3153BAEA" w14:textId="77777777" w:rsidR="00246906" w:rsidRPr="00246906" w:rsidRDefault="00246906" w:rsidP="00246906">
      <w:pPr>
        <w:autoSpaceDE w:val="0"/>
        <w:autoSpaceDN w:val="0"/>
        <w:adjustRightInd w:val="0"/>
        <w:spacing w:after="0" w:line="240" w:lineRule="auto"/>
        <w:rPr>
          <w:rFonts w:ascii="Arial" w:hAnsi="Arial" w:cs="Arial"/>
          <w:b/>
          <w:bCs/>
          <w:color w:val="922790"/>
          <w:sz w:val="24"/>
          <w:szCs w:val="24"/>
        </w:rPr>
      </w:pPr>
    </w:p>
    <w:p w14:paraId="743679C6" w14:textId="3A9FBB1B" w:rsidR="002E1B95" w:rsidRPr="00547379" w:rsidRDefault="00246906" w:rsidP="00246906">
      <w:pPr>
        <w:autoSpaceDE w:val="0"/>
        <w:autoSpaceDN w:val="0"/>
        <w:adjustRightInd w:val="0"/>
        <w:spacing w:after="0" w:line="240" w:lineRule="auto"/>
        <w:jc w:val="center"/>
        <w:rPr>
          <w:rFonts w:ascii="Arial" w:hAnsi="Arial" w:cs="Arial"/>
          <w:bCs/>
          <w:sz w:val="24"/>
          <w:szCs w:val="24"/>
        </w:rPr>
      </w:pPr>
      <w:r w:rsidRPr="00547379">
        <w:rPr>
          <w:rFonts w:ascii="Arial" w:hAnsi="Arial" w:cs="Arial"/>
          <w:bCs/>
          <w:sz w:val="24"/>
          <w:szCs w:val="24"/>
        </w:rPr>
        <w:t xml:space="preserve">Information for </w:t>
      </w:r>
      <w:r w:rsidR="006D134B" w:rsidRPr="00547379">
        <w:rPr>
          <w:rFonts w:ascii="Arial" w:hAnsi="Arial" w:cs="Arial"/>
          <w:bCs/>
          <w:sz w:val="24"/>
          <w:szCs w:val="24"/>
        </w:rPr>
        <w:t>fire and r</w:t>
      </w:r>
      <w:r w:rsidR="000A24CA" w:rsidRPr="00547379">
        <w:rPr>
          <w:rFonts w:ascii="Arial" w:hAnsi="Arial" w:cs="Arial"/>
          <w:bCs/>
          <w:sz w:val="24"/>
          <w:szCs w:val="24"/>
        </w:rPr>
        <w:t>escue</w:t>
      </w:r>
      <w:r w:rsidRPr="00547379">
        <w:rPr>
          <w:rFonts w:ascii="Arial" w:hAnsi="Arial" w:cs="Arial"/>
          <w:bCs/>
          <w:sz w:val="24"/>
          <w:szCs w:val="24"/>
        </w:rPr>
        <w:t xml:space="preserve"> authorities to </w:t>
      </w:r>
      <w:r w:rsidR="009B47AF" w:rsidRPr="00547379">
        <w:rPr>
          <w:rFonts w:ascii="Arial" w:hAnsi="Arial" w:cs="Arial"/>
          <w:bCs/>
          <w:sz w:val="24"/>
          <w:szCs w:val="24"/>
        </w:rPr>
        <w:t>give</w:t>
      </w:r>
      <w:r w:rsidRPr="00547379">
        <w:rPr>
          <w:rFonts w:ascii="Arial" w:hAnsi="Arial" w:cs="Arial"/>
          <w:bCs/>
          <w:sz w:val="24"/>
          <w:szCs w:val="24"/>
        </w:rPr>
        <w:t xml:space="preserve"> members </w:t>
      </w:r>
      <w:r w:rsidR="009B47AF" w:rsidRPr="00547379">
        <w:rPr>
          <w:rFonts w:ascii="Arial" w:hAnsi="Arial" w:cs="Arial"/>
          <w:bCs/>
          <w:sz w:val="24"/>
          <w:szCs w:val="24"/>
        </w:rPr>
        <w:t xml:space="preserve">about </w:t>
      </w:r>
      <w:r w:rsidRPr="00547379">
        <w:rPr>
          <w:rFonts w:ascii="Arial" w:hAnsi="Arial" w:cs="Arial"/>
          <w:bCs/>
          <w:sz w:val="24"/>
          <w:szCs w:val="24"/>
        </w:rPr>
        <w:t xml:space="preserve">amendments to the </w:t>
      </w:r>
      <w:r w:rsidR="00CD740D" w:rsidRPr="00547379">
        <w:rPr>
          <w:rFonts w:ascii="Arial" w:hAnsi="Arial" w:cs="Arial"/>
          <w:bCs/>
          <w:sz w:val="24"/>
          <w:szCs w:val="24"/>
        </w:rPr>
        <w:t>Firefighters</w:t>
      </w:r>
      <w:r w:rsidR="00EF0E72" w:rsidRPr="00547379">
        <w:rPr>
          <w:rFonts w:ascii="Arial" w:hAnsi="Arial" w:cs="Arial"/>
          <w:bCs/>
          <w:sz w:val="24"/>
          <w:szCs w:val="24"/>
        </w:rPr>
        <w:t>’</w:t>
      </w:r>
      <w:r w:rsidR="00CD740D" w:rsidRPr="00547379">
        <w:rPr>
          <w:rFonts w:ascii="Arial" w:hAnsi="Arial" w:cs="Arial"/>
          <w:bCs/>
          <w:sz w:val="24"/>
          <w:szCs w:val="24"/>
        </w:rPr>
        <w:t xml:space="preserve"> Pension Scheme</w:t>
      </w:r>
      <w:r w:rsidR="00A0491C" w:rsidRPr="00547379">
        <w:rPr>
          <w:rFonts w:ascii="Arial" w:hAnsi="Arial" w:cs="Arial"/>
          <w:bCs/>
          <w:sz w:val="24"/>
          <w:szCs w:val="24"/>
        </w:rPr>
        <w:t>s</w:t>
      </w:r>
    </w:p>
    <w:p w14:paraId="68EA87CE" w14:textId="77777777" w:rsidR="00246906" w:rsidRPr="00246906" w:rsidRDefault="00246906" w:rsidP="00246906">
      <w:pPr>
        <w:jc w:val="center"/>
        <w:rPr>
          <w:sz w:val="28"/>
          <w:szCs w:val="28"/>
        </w:rPr>
      </w:pPr>
    </w:p>
    <w:p w14:paraId="0868D2D0" w14:textId="0B50300C" w:rsidR="00246906" w:rsidRPr="00547379" w:rsidRDefault="00CB5B1C" w:rsidP="00547379">
      <w:pPr>
        <w:rPr>
          <w:rFonts w:ascii="Impact" w:hAnsi="Impact" w:cs="Impact"/>
          <w:color w:val="244B9A"/>
          <w:sz w:val="36"/>
          <w:szCs w:val="38"/>
        </w:rPr>
      </w:pPr>
      <w:r w:rsidRPr="00547379">
        <w:rPr>
          <w:rFonts w:ascii="Impact" w:hAnsi="Impact" w:cs="Impact"/>
          <w:color w:val="244B9A"/>
          <w:sz w:val="36"/>
          <w:szCs w:val="38"/>
        </w:rPr>
        <w:t>Introduction</w:t>
      </w:r>
    </w:p>
    <w:p w14:paraId="386C3B65" w14:textId="1A373075" w:rsidR="00246906" w:rsidRPr="00547379" w:rsidRDefault="00CB5B1C" w:rsidP="00547379">
      <w:pPr>
        <w:autoSpaceDE w:val="0"/>
        <w:autoSpaceDN w:val="0"/>
        <w:adjustRightInd w:val="0"/>
        <w:spacing w:after="0" w:line="240" w:lineRule="auto"/>
        <w:jc w:val="both"/>
        <w:rPr>
          <w:rFonts w:ascii="Arial" w:hAnsi="Arial" w:cs="Arial"/>
          <w:bCs/>
        </w:rPr>
      </w:pPr>
      <w:r w:rsidRPr="00547379">
        <w:rPr>
          <w:rFonts w:ascii="Arial" w:hAnsi="Arial" w:cs="Arial"/>
        </w:rPr>
        <w:t xml:space="preserve">The </w:t>
      </w:r>
      <w:r w:rsidR="00DF0FD3" w:rsidRPr="00547379">
        <w:rPr>
          <w:rFonts w:ascii="Arial" w:hAnsi="Arial" w:cs="Arial"/>
          <w:bCs/>
        </w:rPr>
        <w:t xml:space="preserve">Police and Firefighters’ </w:t>
      </w:r>
      <w:r w:rsidR="00B06E0E">
        <w:rPr>
          <w:rFonts w:ascii="Arial" w:hAnsi="Arial" w:cs="Arial"/>
          <w:bCs/>
        </w:rPr>
        <w:t xml:space="preserve">(Pensions etc.) </w:t>
      </w:r>
      <w:r w:rsidR="00DF0FD3" w:rsidRPr="00547379">
        <w:rPr>
          <w:rFonts w:ascii="Arial" w:hAnsi="Arial" w:cs="Arial"/>
          <w:bCs/>
        </w:rPr>
        <w:t>(Am</w:t>
      </w:r>
      <w:r w:rsidR="00B06E0E">
        <w:rPr>
          <w:rFonts w:ascii="Arial" w:hAnsi="Arial" w:cs="Arial"/>
          <w:bCs/>
        </w:rPr>
        <w:t>endment) (England and Wales) Regulations 2019</w:t>
      </w:r>
      <w:r w:rsidR="00B06E0E">
        <w:rPr>
          <w:rFonts w:ascii="Arial" w:hAnsi="Arial" w:cs="Arial"/>
        </w:rPr>
        <w:t xml:space="preserve"> co</w:t>
      </w:r>
      <w:r w:rsidR="00246906" w:rsidRPr="00547379">
        <w:rPr>
          <w:rFonts w:ascii="Arial" w:hAnsi="Arial" w:cs="Arial"/>
        </w:rPr>
        <w:t xml:space="preserve">me into force on </w:t>
      </w:r>
      <w:r w:rsidR="00B06E0E">
        <w:rPr>
          <w:rFonts w:ascii="Arial" w:hAnsi="Arial" w:cs="Arial"/>
        </w:rPr>
        <w:t>1 April 2019</w:t>
      </w:r>
      <w:r w:rsidR="00246906" w:rsidRPr="00547379">
        <w:rPr>
          <w:rFonts w:ascii="Arial" w:hAnsi="Arial" w:cs="Arial"/>
        </w:rPr>
        <w:t>. The</w:t>
      </w:r>
      <w:r w:rsidR="00EF0E72" w:rsidRPr="00547379">
        <w:rPr>
          <w:rFonts w:ascii="Arial" w:hAnsi="Arial" w:cs="Arial"/>
        </w:rPr>
        <w:t>se</w:t>
      </w:r>
      <w:r w:rsidR="00246906" w:rsidRPr="00547379">
        <w:rPr>
          <w:rFonts w:ascii="Arial" w:hAnsi="Arial" w:cs="Arial"/>
        </w:rPr>
        <w:t xml:space="preserve"> regulations amend </w:t>
      </w:r>
      <w:r w:rsidR="00EF0E72" w:rsidRPr="00547379">
        <w:rPr>
          <w:rFonts w:ascii="Arial" w:hAnsi="Arial" w:cs="Arial"/>
        </w:rPr>
        <w:t>the Firefighters’ Pension Scheme</w:t>
      </w:r>
      <w:r w:rsidR="00A0491C" w:rsidRPr="00547379">
        <w:rPr>
          <w:rFonts w:ascii="Arial" w:hAnsi="Arial" w:cs="Arial"/>
        </w:rPr>
        <w:t>s</w:t>
      </w:r>
      <w:r w:rsidR="00246906" w:rsidRPr="00547379">
        <w:rPr>
          <w:rFonts w:ascii="Arial" w:hAnsi="Arial" w:cs="Arial"/>
        </w:rPr>
        <w:t xml:space="preserve">. </w:t>
      </w:r>
    </w:p>
    <w:p w14:paraId="2B2F769F" w14:textId="77777777" w:rsidR="00246906" w:rsidRPr="00547379" w:rsidRDefault="00246906" w:rsidP="00547379">
      <w:pPr>
        <w:pStyle w:val="Default"/>
        <w:jc w:val="both"/>
        <w:rPr>
          <w:sz w:val="22"/>
          <w:szCs w:val="22"/>
        </w:rPr>
      </w:pPr>
    </w:p>
    <w:p w14:paraId="56E67EF0" w14:textId="32A3939C" w:rsidR="00246906" w:rsidRPr="00547379" w:rsidRDefault="00246906" w:rsidP="00547379">
      <w:pPr>
        <w:pStyle w:val="Default"/>
        <w:jc w:val="both"/>
        <w:rPr>
          <w:sz w:val="22"/>
          <w:szCs w:val="22"/>
        </w:rPr>
      </w:pPr>
      <w:r w:rsidRPr="00547379">
        <w:rPr>
          <w:sz w:val="22"/>
          <w:szCs w:val="22"/>
        </w:rPr>
        <w:t xml:space="preserve">This </w:t>
      </w:r>
      <w:r w:rsidR="001D5A30" w:rsidRPr="00547379">
        <w:rPr>
          <w:sz w:val="22"/>
          <w:szCs w:val="22"/>
        </w:rPr>
        <w:t>document</w:t>
      </w:r>
      <w:r w:rsidR="00882CB0" w:rsidRPr="00547379">
        <w:rPr>
          <w:sz w:val="22"/>
          <w:szCs w:val="22"/>
        </w:rPr>
        <w:t xml:space="preserve"> will</w:t>
      </w:r>
      <w:r w:rsidR="0069114D" w:rsidRPr="00547379">
        <w:rPr>
          <w:sz w:val="22"/>
          <w:szCs w:val="22"/>
        </w:rPr>
        <w:t xml:space="preserve"> help </w:t>
      </w:r>
      <w:r w:rsidR="00780BE3" w:rsidRPr="00547379">
        <w:rPr>
          <w:sz w:val="22"/>
          <w:szCs w:val="22"/>
        </w:rPr>
        <w:t>you</w:t>
      </w:r>
      <w:r w:rsidR="0069114D" w:rsidRPr="00547379">
        <w:rPr>
          <w:sz w:val="22"/>
          <w:szCs w:val="22"/>
        </w:rPr>
        <w:t xml:space="preserve"> </w:t>
      </w:r>
      <w:r w:rsidR="0028039D" w:rsidRPr="00547379">
        <w:rPr>
          <w:sz w:val="22"/>
          <w:szCs w:val="22"/>
        </w:rPr>
        <w:t>explain</w:t>
      </w:r>
      <w:r w:rsidRPr="00547379">
        <w:rPr>
          <w:sz w:val="22"/>
          <w:szCs w:val="22"/>
        </w:rPr>
        <w:t xml:space="preserve"> the changes to </w:t>
      </w:r>
      <w:r w:rsidR="00780BE3" w:rsidRPr="00547379">
        <w:rPr>
          <w:sz w:val="22"/>
          <w:szCs w:val="22"/>
        </w:rPr>
        <w:t xml:space="preserve">your </w:t>
      </w:r>
      <w:r w:rsidRPr="00547379">
        <w:rPr>
          <w:sz w:val="22"/>
          <w:szCs w:val="22"/>
        </w:rPr>
        <w:t>scheme members</w:t>
      </w:r>
      <w:r w:rsidR="0069114D" w:rsidRPr="00547379">
        <w:rPr>
          <w:sz w:val="22"/>
          <w:szCs w:val="22"/>
        </w:rPr>
        <w:t xml:space="preserve">. </w:t>
      </w:r>
      <w:r w:rsidR="00EF44F6" w:rsidRPr="00547379">
        <w:rPr>
          <w:sz w:val="22"/>
          <w:szCs w:val="22"/>
        </w:rPr>
        <w:t>You must do this</w:t>
      </w:r>
      <w:r w:rsidR="00EC2943" w:rsidRPr="00547379">
        <w:rPr>
          <w:sz w:val="22"/>
          <w:szCs w:val="22"/>
        </w:rPr>
        <w:t xml:space="preserve"> under </w:t>
      </w:r>
      <w:r w:rsidR="00EF0E72" w:rsidRPr="00547379">
        <w:rPr>
          <w:sz w:val="22"/>
          <w:szCs w:val="22"/>
        </w:rPr>
        <w:t>regulation 8</w:t>
      </w:r>
      <w:r w:rsidRPr="00547379">
        <w:rPr>
          <w:sz w:val="22"/>
          <w:szCs w:val="22"/>
        </w:rPr>
        <w:t xml:space="preserve"> part 1 of Schedule 2 of the Occupational and Personal Pension Schemes (Disclosure of Information) Regulations 2013. </w:t>
      </w:r>
    </w:p>
    <w:p w14:paraId="63A09A79" w14:textId="77777777" w:rsidR="00246906" w:rsidRPr="00547379" w:rsidRDefault="00246906" w:rsidP="00246906">
      <w:pPr>
        <w:pStyle w:val="Default"/>
        <w:rPr>
          <w:sz w:val="22"/>
          <w:szCs w:val="22"/>
        </w:rPr>
      </w:pPr>
    </w:p>
    <w:p w14:paraId="2352F345" w14:textId="1080E13D" w:rsidR="00246906" w:rsidRPr="00547379" w:rsidRDefault="00752E64" w:rsidP="00547379">
      <w:pPr>
        <w:autoSpaceDE w:val="0"/>
        <w:autoSpaceDN w:val="0"/>
        <w:adjustRightInd w:val="0"/>
        <w:spacing w:line="240" w:lineRule="auto"/>
        <w:jc w:val="both"/>
        <w:rPr>
          <w:rFonts w:ascii="Arial" w:hAnsi="Arial" w:cs="Arial"/>
        </w:rPr>
      </w:pPr>
      <w:r w:rsidRPr="00547379">
        <w:rPr>
          <w:rFonts w:ascii="Arial" w:hAnsi="Arial" w:cs="Arial"/>
        </w:rPr>
        <w:t xml:space="preserve">This </w:t>
      </w:r>
      <w:r w:rsidR="009C2109" w:rsidRPr="00547379">
        <w:rPr>
          <w:rFonts w:ascii="Arial" w:hAnsi="Arial" w:cs="Arial"/>
        </w:rPr>
        <w:t>leaflet</w:t>
      </w:r>
      <w:r w:rsidRPr="00547379">
        <w:rPr>
          <w:rFonts w:ascii="Arial" w:hAnsi="Arial" w:cs="Arial"/>
        </w:rPr>
        <w:t xml:space="preserve"> doesn’t</w:t>
      </w:r>
      <w:r w:rsidR="00246906" w:rsidRPr="00547379">
        <w:rPr>
          <w:rFonts w:ascii="Arial" w:hAnsi="Arial" w:cs="Arial"/>
        </w:rPr>
        <w:t xml:space="preserve"> include all </w:t>
      </w:r>
      <w:r w:rsidR="001D5A30" w:rsidRPr="00547379">
        <w:rPr>
          <w:rFonts w:ascii="Arial" w:hAnsi="Arial" w:cs="Arial"/>
        </w:rPr>
        <w:t xml:space="preserve">the </w:t>
      </w:r>
      <w:r w:rsidR="00CF54D8" w:rsidRPr="00547379">
        <w:rPr>
          <w:rFonts w:ascii="Arial" w:hAnsi="Arial" w:cs="Arial"/>
        </w:rPr>
        <w:t>changes</w:t>
      </w:r>
      <w:r w:rsidR="0014406A" w:rsidRPr="00547379">
        <w:rPr>
          <w:rFonts w:ascii="Arial" w:hAnsi="Arial" w:cs="Arial"/>
        </w:rPr>
        <w:t xml:space="preserve"> made</w:t>
      </w:r>
      <w:r w:rsidR="0069114D" w:rsidRPr="00547379">
        <w:rPr>
          <w:rFonts w:ascii="Arial" w:hAnsi="Arial" w:cs="Arial"/>
        </w:rPr>
        <w:t xml:space="preserve">. </w:t>
      </w:r>
      <w:r w:rsidR="0028039D" w:rsidRPr="00547379">
        <w:rPr>
          <w:rFonts w:ascii="Arial" w:hAnsi="Arial" w:cs="Arial"/>
        </w:rPr>
        <w:t>You should</w:t>
      </w:r>
      <w:r w:rsidR="00246906" w:rsidRPr="00547379">
        <w:rPr>
          <w:rFonts w:ascii="Arial" w:hAnsi="Arial" w:cs="Arial"/>
        </w:rPr>
        <w:t xml:space="preserve"> </w:t>
      </w:r>
      <w:r w:rsidR="0028039D" w:rsidRPr="00547379">
        <w:rPr>
          <w:rFonts w:ascii="Arial" w:hAnsi="Arial" w:cs="Arial"/>
        </w:rPr>
        <w:t>read</w:t>
      </w:r>
      <w:r w:rsidR="008A5976" w:rsidRPr="00547379">
        <w:rPr>
          <w:rFonts w:ascii="Arial" w:hAnsi="Arial" w:cs="Arial"/>
        </w:rPr>
        <w:t xml:space="preserve"> </w:t>
      </w:r>
      <w:hyperlink r:id="rId11" w:history="1">
        <w:r w:rsidR="0028039D" w:rsidRPr="00256166">
          <w:rPr>
            <w:rStyle w:val="Hyperlink"/>
            <w:rFonts w:ascii="Arial" w:hAnsi="Arial" w:cs="Arial"/>
          </w:rPr>
          <w:t xml:space="preserve">Statutory </w:t>
        </w:r>
        <w:r w:rsidR="008A5976" w:rsidRPr="00256166">
          <w:rPr>
            <w:rStyle w:val="Hyperlink"/>
            <w:rFonts w:ascii="Arial" w:hAnsi="Arial" w:cs="Arial"/>
          </w:rPr>
          <w:t>I</w:t>
        </w:r>
        <w:r w:rsidR="0028039D" w:rsidRPr="00256166">
          <w:rPr>
            <w:rStyle w:val="Hyperlink"/>
            <w:rFonts w:ascii="Arial" w:hAnsi="Arial" w:cs="Arial"/>
          </w:rPr>
          <w:t>nstrument</w:t>
        </w:r>
        <w:r w:rsidR="00256166" w:rsidRPr="00256166">
          <w:rPr>
            <w:rStyle w:val="Hyperlink"/>
            <w:rFonts w:ascii="Arial" w:hAnsi="Arial" w:cs="Arial"/>
          </w:rPr>
          <w:t xml:space="preserve"> 2019/378</w:t>
        </w:r>
      </w:hyperlink>
      <w:r w:rsidR="00246906" w:rsidRPr="00547379">
        <w:rPr>
          <w:rFonts w:ascii="Arial" w:hAnsi="Arial" w:cs="Arial"/>
        </w:rPr>
        <w:t xml:space="preserve"> </w:t>
      </w:r>
      <w:r w:rsidR="00BF2EEC" w:rsidRPr="00547379">
        <w:rPr>
          <w:rFonts w:ascii="Arial" w:hAnsi="Arial" w:cs="Arial"/>
        </w:rPr>
        <w:t>f</w:t>
      </w:r>
      <w:r w:rsidR="00246906" w:rsidRPr="00547379">
        <w:rPr>
          <w:rFonts w:ascii="Arial" w:hAnsi="Arial" w:cs="Arial"/>
        </w:rPr>
        <w:t xml:space="preserve">or </w:t>
      </w:r>
      <w:r w:rsidR="00CF54D8" w:rsidRPr="00547379">
        <w:rPr>
          <w:rFonts w:ascii="Arial" w:hAnsi="Arial" w:cs="Arial"/>
        </w:rPr>
        <w:t>the full</w:t>
      </w:r>
      <w:r w:rsidR="00246906" w:rsidRPr="00547379">
        <w:rPr>
          <w:rFonts w:ascii="Arial" w:hAnsi="Arial" w:cs="Arial"/>
        </w:rPr>
        <w:t xml:space="preserve"> amendments.</w:t>
      </w:r>
      <w:r w:rsidR="00780BE3" w:rsidRPr="00547379">
        <w:rPr>
          <w:rFonts w:ascii="Arial" w:hAnsi="Arial" w:cs="Arial"/>
        </w:rPr>
        <w:t xml:space="preserve"> </w:t>
      </w:r>
      <w:r w:rsidR="00BF2EEC" w:rsidRPr="00547379">
        <w:rPr>
          <w:rFonts w:ascii="Arial" w:hAnsi="Arial" w:cs="Arial"/>
        </w:rPr>
        <w:t xml:space="preserve">More information can </w:t>
      </w:r>
      <w:r w:rsidR="00A42D5A" w:rsidRPr="00547379">
        <w:rPr>
          <w:rFonts w:ascii="Arial" w:hAnsi="Arial" w:cs="Arial"/>
        </w:rPr>
        <w:t xml:space="preserve">also </w:t>
      </w:r>
      <w:r w:rsidR="00BF2EEC" w:rsidRPr="00547379">
        <w:rPr>
          <w:rFonts w:ascii="Arial" w:hAnsi="Arial" w:cs="Arial"/>
        </w:rPr>
        <w:t xml:space="preserve">be found in the LGA </w:t>
      </w:r>
      <w:hyperlink r:id="rId12" w:history="1">
        <w:r w:rsidR="00BF2EEC" w:rsidRPr="00547379">
          <w:rPr>
            <w:rStyle w:val="Hyperlink"/>
            <w:rFonts w:ascii="Arial" w:hAnsi="Arial" w:cs="Arial"/>
          </w:rPr>
          <w:t xml:space="preserve">technical </w:t>
        </w:r>
        <w:r w:rsidR="00101752" w:rsidRPr="00547379">
          <w:rPr>
            <w:rStyle w:val="Hyperlink"/>
            <w:rFonts w:ascii="Arial" w:hAnsi="Arial" w:cs="Arial"/>
          </w:rPr>
          <w:t>note</w:t>
        </w:r>
      </w:hyperlink>
      <w:r w:rsidR="00BF2EEC" w:rsidRPr="00547379">
        <w:rPr>
          <w:rFonts w:ascii="Arial" w:hAnsi="Arial" w:cs="Arial"/>
        </w:rPr>
        <w:t xml:space="preserve">. </w:t>
      </w:r>
    </w:p>
    <w:p w14:paraId="5B83F8F7" w14:textId="77777777" w:rsidR="001D5A30" w:rsidRDefault="001D5A30" w:rsidP="001D5A30">
      <w:pPr>
        <w:autoSpaceDE w:val="0"/>
        <w:autoSpaceDN w:val="0"/>
        <w:adjustRightInd w:val="0"/>
        <w:spacing w:after="0" w:line="240" w:lineRule="auto"/>
        <w:rPr>
          <w:rFonts w:ascii="Arial" w:hAnsi="Arial" w:cs="Arial"/>
          <w:sz w:val="24"/>
          <w:szCs w:val="24"/>
        </w:rPr>
      </w:pPr>
    </w:p>
    <w:p w14:paraId="404B5357" w14:textId="4848A5BD" w:rsidR="00246906" w:rsidRPr="00547379" w:rsidRDefault="00246906" w:rsidP="00547379">
      <w:pPr>
        <w:jc w:val="both"/>
        <w:rPr>
          <w:rFonts w:ascii="Impact" w:hAnsi="Impact" w:cs="Impact"/>
          <w:color w:val="244B9A"/>
          <w:sz w:val="36"/>
          <w:szCs w:val="38"/>
        </w:rPr>
      </w:pPr>
      <w:r w:rsidRPr="00547379">
        <w:rPr>
          <w:rFonts w:ascii="Impact" w:hAnsi="Impact" w:cs="Impact"/>
          <w:color w:val="244B9A"/>
          <w:sz w:val="36"/>
          <w:szCs w:val="38"/>
        </w:rPr>
        <w:t>Disclosure</w:t>
      </w:r>
      <w:r w:rsidR="00085FE5" w:rsidRPr="00547379">
        <w:rPr>
          <w:rFonts w:ascii="Impact" w:hAnsi="Impact" w:cs="Impact"/>
          <w:color w:val="244B9A"/>
          <w:sz w:val="36"/>
          <w:szCs w:val="38"/>
        </w:rPr>
        <w:t xml:space="preserve"> requirements</w:t>
      </w:r>
    </w:p>
    <w:p w14:paraId="7812F02E" w14:textId="59C84182" w:rsidR="00246906" w:rsidRPr="00547379" w:rsidRDefault="00246906" w:rsidP="00547379">
      <w:pPr>
        <w:pStyle w:val="Default"/>
        <w:jc w:val="both"/>
        <w:rPr>
          <w:sz w:val="22"/>
        </w:rPr>
      </w:pPr>
      <w:r w:rsidRPr="00547379">
        <w:rPr>
          <w:sz w:val="22"/>
        </w:rPr>
        <w:t>The Disclosure 2013 Regulation</w:t>
      </w:r>
      <w:r w:rsidR="00E97122" w:rsidRPr="00547379">
        <w:rPr>
          <w:sz w:val="22"/>
        </w:rPr>
        <w:t>s make sure pension schemes</w:t>
      </w:r>
      <w:r w:rsidR="00B91CE7" w:rsidRPr="00547379">
        <w:rPr>
          <w:sz w:val="22"/>
        </w:rPr>
        <w:t xml:space="preserve"> tell </w:t>
      </w:r>
      <w:r w:rsidR="00E97122" w:rsidRPr="00547379">
        <w:rPr>
          <w:sz w:val="22"/>
        </w:rPr>
        <w:t>members and beneficiaries</w:t>
      </w:r>
      <w:r w:rsidRPr="00547379">
        <w:rPr>
          <w:sz w:val="22"/>
        </w:rPr>
        <w:t xml:space="preserve"> </w:t>
      </w:r>
      <w:r w:rsidR="00B91CE7" w:rsidRPr="00547379">
        <w:rPr>
          <w:sz w:val="22"/>
        </w:rPr>
        <w:t>about scheme changes</w:t>
      </w:r>
      <w:r w:rsidR="00E97122" w:rsidRPr="00547379">
        <w:rPr>
          <w:sz w:val="22"/>
        </w:rPr>
        <w:t>.</w:t>
      </w:r>
      <w:r w:rsidRPr="00547379">
        <w:rPr>
          <w:sz w:val="22"/>
        </w:rPr>
        <w:t xml:space="preserve"> </w:t>
      </w:r>
      <w:r w:rsidR="009960AC" w:rsidRPr="00547379">
        <w:rPr>
          <w:sz w:val="22"/>
        </w:rPr>
        <w:t xml:space="preserve">Particularly, those </w:t>
      </w:r>
      <w:r w:rsidR="00E110DC" w:rsidRPr="00547379">
        <w:rPr>
          <w:sz w:val="22"/>
        </w:rPr>
        <w:t>causing</w:t>
      </w:r>
      <w:r w:rsidRPr="00547379">
        <w:rPr>
          <w:sz w:val="22"/>
        </w:rPr>
        <w:t xml:space="preserve"> a </w:t>
      </w:r>
      <w:r w:rsidR="009960AC" w:rsidRPr="00547379">
        <w:rPr>
          <w:sz w:val="22"/>
        </w:rPr>
        <w:t>‘</w:t>
      </w:r>
      <w:r w:rsidRPr="00547379">
        <w:rPr>
          <w:sz w:val="22"/>
        </w:rPr>
        <w:t>material change</w:t>
      </w:r>
      <w:r w:rsidR="009960AC" w:rsidRPr="00547379">
        <w:rPr>
          <w:sz w:val="22"/>
        </w:rPr>
        <w:t>’</w:t>
      </w:r>
      <w:r w:rsidRPr="00547379">
        <w:rPr>
          <w:sz w:val="22"/>
        </w:rPr>
        <w:t xml:space="preserve"> </w:t>
      </w:r>
      <w:r w:rsidR="009960AC" w:rsidRPr="00547379">
        <w:rPr>
          <w:sz w:val="22"/>
        </w:rPr>
        <w:t>to basic scheme information. This is</w:t>
      </w:r>
      <w:r w:rsidRPr="00547379">
        <w:rPr>
          <w:sz w:val="22"/>
        </w:rPr>
        <w:t xml:space="preserve"> listed in Part 1 of Schedule 2 of th</w:t>
      </w:r>
      <w:r w:rsidR="000529FF" w:rsidRPr="00547379">
        <w:rPr>
          <w:sz w:val="22"/>
        </w:rPr>
        <w:t>e</w:t>
      </w:r>
      <w:r w:rsidRPr="00547379">
        <w:rPr>
          <w:sz w:val="22"/>
        </w:rPr>
        <w:t xml:space="preserve"> </w:t>
      </w:r>
      <w:r w:rsidR="00A0491C" w:rsidRPr="00547379">
        <w:rPr>
          <w:sz w:val="22"/>
        </w:rPr>
        <w:t xml:space="preserve">disclosure </w:t>
      </w:r>
      <w:r w:rsidRPr="00547379">
        <w:rPr>
          <w:sz w:val="22"/>
        </w:rPr>
        <w:t xml:space="preserve">regulations. </w:t>
      </w:r>
      <w:r w:rsidR="00780BE3" w:rsidRPr="00547379">
        <w:rPr>
          <w:sz w:val="22"/>
        </w:rPr>
        <w:t>Under</w:t>
      </w:r>
      <w:r w:rsidRPr="00547379">
        <w:rPr>
          <w:sz w:val="22"/>
        </w:rPr>
        <w:t xml:space="preserve"> regulation 8(5)(a)</w:t>
      </w:r>
      <w:r w:rsidR="003E6A2D" w:rsidRPr="00547379">
        <w:rPr>
          <w:sz w:val="22"/>
        </w:rPr>
        <w:t>,</w:t>
      </w:r>
      <w:r w:rsidRPr="00547379">
        <w:rPr>
          <w:sz w:val="22"/>
        </w:rPr>
        <w:t xml:space="preserve"> </w:t>
      </w:r>
      <w:r w:rsidR="00085FE5" w:rsidRPr="00547379">
        <w:rPr>
          <w:sz w:val="22"/>
        </w:rPr>
        <w:t xml:space="preserve">only information </w:t>
      </w:r>
      <w:r w:rsidR="00B91CE7" w:rsidRPr="00547379">
        <w:rPr>
          <w:sz w:val="22"/>
        </w:rPr>
        <w:t>about</w:t>
      </w:r>
      <w:r w:rsidRPr="00547379">
        <w:rPr>
          <w:sz w:val="22"/>
        </w:rPr>
        <w:t xml:space="preserve"> the person’s rights or </w:t>
      </w:r>
      <w:r w:rsidR="00551BB0" w:rsidRPr="00547379">
        <w:rPr>
          <w:sz w:val="22"/>
        </w:rPr>
        <w:t>future</w:t>
      </w:r>
      <w:r w:rsidRPr="00547379">
        <w:rPr>
          <w:sz w:val="22"/>
        </w:rPr>
        <w:t xml:space="preserve"> rights </w:t>
      </w:r>
      <w:r w:rsidR="00085FE5" w:rsidRPr="00547379">
        <w:rPr>
          <w:sz w:val="22"/>
        </w:rPr>
        <w:t>should be given</w:t>
      </w:r>
      <w:r w:rsidRPr="00547379">
        <w:rPr>
          <w:sz w:val="22"/>
        </w:rPr>
        <w:t>. This leaflet</w:t>
      </w:r>
      <w:r w:rsidR="00C71DF8" w:rsidRPr="00547379">
        <w:rPr>
          <w:sz w:val="22"/>
        </w:rPr>
        <w:t xml:space="preserve"> will</w:t>
      </w:r>
      <w:r w:rsidRPr="00547379">
        <w:rPr>
          <w:sz w:val="22"/>
        </w:rPr>
        <w:t xml:space="preserve"> </w:t>
      </w:r>
      <w:r w:rsidR="00C71DF8" w:rsidRPr="00547379">
        <w:rPr>
          <w:sz w:val="22"/>
        </w:rPr>
        <w:t>explain</w:t>
      </w:r>
      <w:r w:rsidR="000B1295" w:rsidRPr="00547379">
        <w:rPr>
          <w:sz w:val="22"/>
        </w:rPr>
        <w:t xml:space="preserve"> th</w:t>
      </w:r>
      <w:r w:rsidR="00085FE5" w:rsidRPr="00547379">
        <w:rPr>
          <w:sz w:val="22"/>
        </w:rPr>
        <w:t xml:space="preserve">e changes </w:t>
      </w:r>
      <w:r w:rsidR="000B1295" w:rsidRPr="00547379">
        <w:rPr>
          <w:sz w:val="22"/>
        </w:rPr>
        <w:t>thought to be material</w:t>
      </w:r>
      <w:r w:rsidRPr="00547379">
        <w:rPr>
          <w:sz w:val="22"/>
        </w:rPr>
        <w:t xml:space="preserve">. </w:t>
      </w:r>
    </w:p>
    <w:p w14:paraId="0994FF0A" w14:textId="4DADC94F" w:rsidR="00246906" w:rsidRPr="00547379" w:rsidRDefault="00246906" w:rsidP="00547379">
      <w:pPr>
        <w:pStyle w:val="Default"/>
        <w:jc w:val="both"/>
        <w:rPr>
          <w:sz w:val="22"/>
        </w:rPr>
      </w:pPr>
    </w:p>
    <w:p w14:paraId="1F10CA12" w14:textId="26F2B4B9" w:rsidR="00275674" w:rsidRPr="00547379" w:rsidRDefault="00336C33" w:rsidP="00547379">
      <w:pPr>
        <w:pStyle w:val="Default"/>
        <w:jc w:val="both"/>
        <w:rPr>
          <w:sz w:val="22"/>
        </w:rPr>
      </w:pPr>
      <w:r w:rsidRPr="00547379">
        <w:rPr>
          <w:sz w:val="22"/>
        </w:rPr>
        <w:t>This leaflet doesn’t mention one of the changes introduced by the amendment regulations</w:t>
      </w:r>
      <w:r w:rsidR="00B06E0E">
        <w:rPr>
          <w:sz w:val="22"/>
        </w:rPr>
        <w:t xml:space="preserve">, which was to make </w:t>
      </w:r>
      <w:r w:rsidR="00256166">
        <w:rPr>
          <w:sz w:val="22"/>
        </w:rPr>
        <w:t xml:space="preserve">minor amendments </w:t>
      </w:r>
      <w:r w:rsidR="00B06E0E">
        <w:rPr>
          <w:sz w:val="22"/>
        </w:rPr>
        <w:t xml:space="preserve">to the rule on two pensions, as this </w:t>
      </w:r>
      <w:r w:rsidR="00275674" w:rsidRPr="00547379">
        <w:rPr>
          <w:sz w:val="22"/>
        </w:rPr>
        <w:t xml:space="preserve">wasn’t </w:t>
      </w:r>
      <w:r w:rsidR="00670D05" w:rsidRPr="00547379">
        <w:rPr>
          <w:sz w:val="22"/>
        </w:rPr>
        <w:t>considered</w:t>
      </w:r>
      <w:r w:rsidR="00275674" w:rsidRPr="00547379">
        <w:rPr>
          <w:sz w:val="22"/>
        </w:rPr>
        <w:t xml:space="preserve"> a material change. </w:t>
      </w:r>
    </w:p>
    <w:p w14:paraId="7459008F" w14:textId="77777777" w:rsidR="00024D90" w:rsidRPr="00547379" w:rsidRDefault="00024D90" w:rsidP="00547379">
      <w:pPr>
        <w:pStyle w:val="Default"/>
        <w:jc w:val="both"/>
        <w:rPr>
          <w:sz w:val="22"/>
        </w:rPr>
      </w:pPr>
    </w:p>
    <w:p w14:paraId="5EF73B60" w14:textId="77777777" w:rsidR="00275674" w:rsidRPr="00547379" w:rsidRDefault="00275674" w:rsidP="00547379">
      <w:pPr>
        <w:pStyle w:val="Default"/>
        <w:jc w:val="both"/>
        <w:rPr>
          <w:sz w:val="22"/>
        </w:rPr>
      </w:pPr>
    </w:p>
    <w:p w14:paraId="3408CC85" w14:textId="2ADE372B" w:rsidR="00246906" w:rsidRPr="00547379" w:rsidRDefault="00EF0E72" w:rsidP="00547379">
      <w:pPr>
        <w:pStyle w:val="Default"/>
        <w:jc w:val="both"/>
        <w:rPr>
          <w:b/>
          <w:sz w:val="22"/>
        </w:rPr>
      </w:pPr>
      <w:r w:rsidRPr="00547379">
        <w:rPr>
          <w:b/>
          <w:sz w:val="22"/>
        </w:rPr>
        <w:t xml:space="preserve">You should </w:t>
      </w:r>
      <w:r w:rsidR="00755E68" w:rsidRPr="00547379">
        <w:rPr>
          <w:b/>
          <w:sz w:val="22"/>
        </w:rPr>
        <w:t>tell members about these changes</w:t>
      </w:r>
      <w:r w:rsidR="00551BB0" w:rsidRPr="00547379">
        <w:rPr>
          <w:b/>
          <w:sz w:val="22"/>
        </w:rPr>
        <w:t xml:space="preserve"> </w:t>
      </w:r>
      <w:r w:rsidRPr="00547379">
        <w:rPr>
          <w:b/>
          <w:sz w:val="22"/>
        </w:rPr>
        <w:t>as soon as possible</w:t>
      </w:r>
      <w:r w:rsidR="00DF4D2E" w:rsidRPr="00547379">
        <w:rPr>
          <w:b/>
          <w:sz w:val="22"/>
        </w:rPr>
        <w:t xml:space="preserve"> and</w:t>
      </w:r>
      <w:r w:rsidR="00551BB0" w:rsidRPr="00547379">
        <w:rPr>
          <w:b/>
          <w:sz w:val="22"/>
        </w:rPr>
        <w:t xml:space="preserve"> at least </w:t>
      </w:r>
      <w:r w:rsidR="00246906" w:rsidRPr="00547379">
        <w:rPr>
          <w:b/>
          <w:sz w:val="22"/>
        </w:rPr>
        <w:t xml:space="preserve">within three months of the date of </w:t>
      </w:r>
      <w:r w:rsidR="00755E68" w:rsidRPr="00547379">
        <w:rPr>
          <w:b/>
          <w:sz w:val="22"/>
        </w:rPr>
        <w:t xml:space="preserve">the </w:t>
      </w:r>
      <w:r w:rsidR="00246906" w:rsidRPr="00547379">
        <w:rPr>
          <w:b/>
          <w:sz w:val="22"/>
        </w:rPr>
        <w:t xml:space="preserve">change (i.e. by </w:t>
      </w:r>
      <w:r w:rsidR="00256166">
        <w:rPr>
          <w:b/>
          <w:sz w:val="22"/>
        </w:rPr>
        <w:t>1 July 2019</w:t>
      </w:r>
      <w:r w:rsidR="00246906" w:rsidRPr="00547379">
        <w:rPr>
          <w:b/>
          <w:sz w:val="22"/>
        </w:rPr>
        <w:t>).</w:t>
      </w:r>
    </w:p>
    <w:p w14:paraId="1B19823D" w14:textId="77777777" w:rsidR="00DF4D2E" w:rsidRDefault="00DF4D2E" w:rsidP="00547379">
      <w:pPr>
        <w:pStyle w:val="Default"/>
        <w:jc w:val="both"/>
        <w:rPr>
          <w:b/>
        </w:rPr>
      </w:pPr>
    </w:p>
    <w:p w14:paraId="3CA63035" w14:textId="29F72A97" w:rsidR="00256166" w:rsidRDefault="00256166">
      <w:pPr>
        <w:rPr>
          <w:rFonts w:ascii="Arial" w:hAnsi="Arial" w:cs="Arial"/>
          <w:b/>
          <w:color w:val="000000"/>
          <w:sz w:val="24"/>
          <w:szCs w:val="24"/>
        </w:rPr>
      </w:pPr>
      <w:r>
        <w:rPr>
          <w:b/>
        </w:rPr>
        <w:br w:type="page"/>
      </w:r>
    </w:p>
    <w:p w14:paraId="0A299EA7" w14:textId="77777777" w:rsidR="00DF4D2E" w:rsidRPr="00547379" w:rsidRDefault="00DF4D2E" w:rsidP="00547379">
      <w:pPr>
        <w:pStyle w:val="Default"/>
        <w:jc w:val="both"/>
        <w:rPr>
          <w:b/>
        </w:rPr>
      </w:pPr>
    </w:p>
    <w:p w14:paraId="509AD266" w14:textId="77777777" w:rsidR="008A5976" w:rsidRDefault="008A5976" w:rsidP="00246906">
      <w:pPr>
        <w:pStyle w:val="Default"/>
      </w:pPr>
    </w:p>
    <w:p w14:paraId="5E8662DA" w14:textId="2B2A1598" w:rsidR="008A5976" w:rsidRPr="00547379" w:rsidRDefault="008A5976" w:rsidP="00547379">
      <w:pPr>
        <w:jc w:val="both"/>
        <w:rPr>
          <w:rFonts w:ascii="Impact" w:hAnsi="Impact" w:cs="Impact"/>
          <w:color w:val="244B9A"/>
          <w:sz w:val="36"/>
          <w:szCs w:val="38"/>
        </w:rPr>
      </w:pPr>
      <w:r w:rsidRPr="00547379">
        <w:rPr>
          <w:rFonts w:ascii="Impact" w:hAnsi="Impact" w:cs="Impact"/>
          <w:color w:val="244B9A"/>
          <w:sz w:val="36"/>
          <w:szCs w:val="38"/>
        </w:rPr>
        <w:t>Sample text</w:t>
      </w:r>
      <w:r w:rsidR="00CD7C03" w:rsidRPr="00547379">
        <w:rPr>
          <w:rFonts w:ascii="Impact" w:hAnsi="Impact" w:cs="Impact"/>
          <w:color w:val="244B9A"/>
          <w:sz w:val="36"/>
          <w:szCs w:val="38"/>
        </w:rPr>
        <w:t xml:space="preserve"> to be used in member communication</w:t>
      </w:r>
      <w:r w:rsidR="009650E1">
        <w:rPr>
          <w:rFonts w:ascii="Impact" w:hAnsi="Impact" w:cs="Impact"/>
          <w:color w:val="244B9A"/>
          <w:sz w:val="36"/>
          <w:szCs w:val="38"/>
        </w:rPr>
        <w:t>s:</w:t>
      </w:r>
      <w:r w:rsidR="00CD7C03" w:rsidRPr="00547379">
        <w:rPr>
          <w:rFonts w:ascii="Impact" w:hAnsi="Impact" w:cs="Impact"/>
          <w:color w:val="244B9A"/>
          <w:sz w:val="36"/>
          <w:szCs w:val="38"/>
        </w:rPr>
        <w:t xml:space="preserve"> </w:t>
      </w:r>
    </w:p>
    <w:p w14:paraId="48818076" w14:textId="77777777" w:rsidR="009650E1" w:rsidRPr="00547379" w:rsidRDefault="009650E1" w:rsidP="00547379">
      <w:pPr>
        <w:spacing w:before="240"/>
        <w:rPr>
          <w:rFonts w:ascii="Impact" w:hAnsi="Impact" w:cs="Impact"/>
          <w:color w:val="244B9A"/>
          <w:sz w:val="36"/>
          <w:szCs w:val="38"/>
        </w:rPr>
      </w:pPr>
      <w:r w:rsidRPr="00547379">
        <w:rPr>
          <w:rFonts w:ascii="Impact" w:hAnsi="Impact" w:cs="Impact"/>
          <w:color w:val="244B9A"/>
          <w:sz w:val="36"/>
          <w:szCs w:val="38"/>
        </w:rPr>
        <w:t>Amendments to the Firefighters’ Pension Schemes</w:t>
      </w:r>
    </w:p>
    <w:p w14:paraId="648B3031" w14:textId="7CCD1403" w:rsidR="008A5976" w:rsidRDefault="008A5976" w:rsidP="00547379">
      <w:pPr>
        <w:pStyle w:val="Default"/>
        <w:jc w:val="both"/>
      </w:pPr>
      <w:r w:rsidRPr="008A5976">
        <w:t xml:space="preserve">Changes have been made to the </w:t>
      </w:r>
      <w:r w:rsidR="00256166">
        <w:t xml:space="preserve">1992 </w:t>
      </w:r>
      <w:r w:rsidRPr="008A5976">
        <w:t>Firefighters</w:t>
      </w:r>
      <w:r w:rsidR="009B6967">
        <w:t>’</w:t>
      </w:r>
      <w:r w:rsidRPr="008A5976">
        <w:t xml:space="preserve"> Pension Scheme</w:t>
      </w:r>
      <w:r w:rsidR="002B1DCB">
        <w:t xml:space="preserve"> and the Firefighters Compensation Scheme</w:t>
      </w:r>
      <w:r w:rsidR="00B06E0E">
        <w:t>. These changes co</w:t>
      </w:r>
      <w:r w:rsidRPr="008A5976">
        <w:t xml:space="preserve">me into effect from </w:t>
      </w:r>
      <w:r w:rsidR="00256166">
        <w:t>1 April 2019</w:t>
      </w:r>
      <w:r w:rsidR="00937E70">
        <w:t xml:space="preserve"> and are </w:t>
      </w:r>
      <w:r w:rsidR="00CF54D8">
        <w:t>explained</w:t>
      </w:r>
      <w:r w:rsidR="00937E70">
        <w:t xml:space="preserve"> below</w:t>
      </w:r>
      <w:r w:rsidR="00627088">
        <w:t>:</w:t>
      </w:r>
      <w:r w:rsidRPr="008A5976">
        <w:t xml:space="preserve"> </w:t>
      </w:r>
    </w:p>
    <w:p w14:paraId="0AE51A9C" w14:textId="123A918A" w:rsidR="001D571D" w:rsidRDefault="001D571D" w:rsidP="00547379">
      <w:pPr>
        <w:pStyle w:val="Default"/>
        <w:jc w:val="both"/>
      </w:pPr>
    </w:p>
    <w:p w14:paraId="4AC4B053" w14:textId="00E1AC59" w:rsidR="008A5976" w:rsidRDefault="008A5976" w:rsidP="00246906">
      <w:pPr>
        <w:pStyle w:val="Default"/>
      </w:pPr>
    </w:p>
    <w:p w14:paraId="435F8681" w14:textId="19C555C2" w:rsidR="00572840" w:rsidRPr="00547379" w:rsidRDefault="00045290" w:rsidP="00547379">
      <w:pPr>
        <w:jc w:val="both"/>
        <w:rPr>
          <w:rFonts w:ascii="Impact" w:hAnsi="Impact" w:cs="Impact"/>
          <w:color w:val="244B9A"/>
          <w:sz w:val="36"/>
          <w:szCs w:val="38"/>
        </w:rPr>
      </w:pPr>
      <w:r w:rsidRPr="00547379">
        <w:rPr>
          <w:rFonts w:ascii="Impact" w:hAnsi="Impact" w:cs="Impact"/>
          <w:color w:val="244B9A"/>
          <w:sz w:val="36"/>
          <w:szCs w:val="38"/>
        </w:rPr>
        <w:t>Surviving partner</w:t>
      </w:r>
      <w:r w:rsidR="00F32225">
        <w:rPr>
          <w:rFonts w:ascii="Impact" w:hAnsi="Impact" w:cs="Impact"/>
          <w:color w:val="244B9A"/>
          <w:sz w:val="36"/>
          <w:szCs w:val="38"/>
        </w:rPr>
        <w:t>’</w:t>
      </w:r>
      <w:r w:rsidRPr="00547379">
        <w:rPr>
          <w:rFonts w:ascii="Impact" w:hAnsi="Impact" w:cs="Impact"/>
          <w:color w:val="244B9A"/>
          <w:sz w:val="36"/>
          <w:szCs w:val="38"/>
        </w:rPr>
        <w:t>s pension</w:t>
      </w:r>
    </w:p>
    <w:p w14:paraId="2A78FB1F" w14:textId="69495463" w:rsidR="00256166" w:rsidRDefault="00256166" w:rsidP="00AF058A">
      <w:pPr>
        <w:pStyle w:val="NormalWeb"/>
        <w:spacing w:before="0" w:beforeAutospacing="0" w:after="0" w:afterAutospacing="0"/>
        <w:ind w:left="284"/>
        <w:jc w:val="both"/>
        <w:rPr>
          <w:rFonts w:ascii="Arial" w:hAnsi="Arial" w:cs="Arial"/>
        </w:rPr>
      </w:pPr>
      <w:r>
        <w:rPr>
          <w:rFonts w:ascii="Arial" w:hAnsi="Arial" w:cs="Arial"/>
          <w:color w:val="000000"/>
        </w:rPr>
        <w:t xml:space="preserve">The 1992 scheme </w:t>
      </w:r>
      <w:r w:rsidR="002B1DCB">
        <w:rPr>
          <w:rFonts w:ascii="Arial" w:hAnsi="Arial" w:cs="Arial"/>
          <w:color w:val="000000"/>
        </w:rPr>
        <w:t xml:space="preserve">and the compensation scheme </w:t>
      </w:r>
      <w:r>
        <w:rPr>
          <w:rFonts w:ascii="Arial" w:hAnsi="Arial" w:cs="Arial"/>
          <w:color w:val="000000"/>
        </w:rPr>
        <w:t>rules on survivors</w:t>
      </w:r>
      <w:r w:rsidR="00F713FE">
        <w:rPr>
          <w:rFonts w:ascii="Arial" w:hAnsi="Arial" w:cs="Arial"/>
          <w:color w:val="000000"/>
        </w:rPr>
        <w:t>’</w:t>
      </w:r>
      <w:r>
        <w:rPr>
          <w:rFonts w:ascii="Arial" w:hAnsi="Arial" w:cs="Arial"/>
          <w:color w:val="000000"/>
        </w:rPr>
        <w:t xml:space="preserve"> pensions have been changed following a legal judgment</w:t>
      </w:r>
      <w:r>
        <w:rPr>
          <w:rStyle w:val="FootnoteReference"/>
          <w:rFonts w:ascii="Arial" w:hAnsi="Arial" w:cs="Arial"/>
          <w:color w:val="000000"/>
        </w:rPr>
        <w:footnoteReference w:id="1"/>
      </w:r>
      <w:r>
        <w:rPr>
          <w:rFonts w:ascii="Arial" w:hAnsi="Arial" w:cs="Arial"/>
          <w:color w:val="000000"/>
        </w:rPr>
        <w:t xml:space="preserve">.  </w:t>
      </w:r>
      <w:r>
        <w:rPr>
          <w:rFonts w:ascii="Arial" w:hAnsi="Arial" w:cs="Arial"/>
        </w:rPr>
        <w:t>T</w:t>
      </w:r>
      <w:r w:rsidRPr="00B77D47">
        <w:rPr>
          <w:rFonts w:ascii="Arial" w:hAnsi="Arial" w:cs="Arial"/>
        </w:rPr>
        <w:t>his judgment considered the restriction of service within the calculation of the surviving partners</w:t>
      </w:r>
      <w:r w:rsidR="00F713FE">
        <w:rPr>
          <w:rFonts w:ascii="Arial" w:hAnsi="Arial" w:cs="Arial"/>
        </w:rPr>
        <w:t>’</w:t>
      </w:r>
      <w:r w:rsidRPr="00B77D47">
        <w:rPr>
          <w:rFonts w:ascii="Arial" w:hAnsi="Arial" w:cs="Arial"/>
        </w:rPr>
        <w:t xml:space="preserve"> pension for civil partners</w:t>
      </w:r>
      <w:r w:rsidRPr="00E857F2">
        <w:rPr>
          <w:rStyle w:val="FootnoteReference"/>
          <w:rFonts w:ascii="Arial" w:hAnsi="Arial" w:cs="Arial"/>
        </w:rPr>
        <w:footnoteReference w:id="2"/>
      </w:r>
      <w:r>
        <w:rPr>
          <w:rFonts w:ascii="Arial" w:hAnsi="Arial" w:cs="Arial"/>
        </w:rPr>
        <w:t xml:space="preserve"> and same sex marriage</w:t>
      </w:r>
      <w:r w:rsidRPr="00E857F2">
        <w:rPr>
          <w:rStyle w:val="FootnoteReference"/>
          <w:rFonts w:ascii="Arial" w:hAnsi="Arial" w:cs="Arial"/>
        </w:rPr>
        <w:footnoteReference w:id="3"/>
      </w:r>
      <w:r w:rsidRPr="00E857F2">
        <w:rPr>
          <w:rFonts w:ascii="Arial" w:hAnsi="Arial" w:cs="Arial"/>
          <w:vertAlign w:val="superscript"/>
        </w:rPr>
        <w:t xml:space="preserve"> </w:t>
      </w:r>
      <w:r w:rsidRPr="00B77D47">
        <w:rPr>
          <w:rFonts w:ascii="Arial" w:hAnsi="Arial" w:cs="Arial"/>
        </w:rPr>
        <w:t>unlawful.</w:t>
      </w:r>
    </w:p>
    <w:p w14:paraId="76E5A062" w14:textId="77777777" w:rsidR="00256166" w:rsidRDefault="00256166" w:rsidP="00AF058A">
      <w:pPr>
        <w:pStyle w:val="NormalWeb"/>
        <w:spacing w:before="0" w:beforeAutospacing="0" w:after="0" w:afterAutospacing="0"/>
        <w:ind w:left="284"/>
        <w:jc w:val="both"/>
        <w:rPr>
          <w:rFonts w:ascii="Arial" w:hAnsi="Arial" w:cs="Arial"/>
        </w:rPr>
      </w:pPr>
    </w:p>
    <w:p w14:paraId="11218D48" w14:textId="1609F0F9" w:rsidR="00256166" w:rsidRDefault="00256166" w:rsidP="00AF058A">
      <w:pPr>
        <w:pStyle w:val="NormalWeb"/>
        <w:spacing w:before="0" w:beforeAutospacing="0" w:after="0" w:afterAutospacing="0"/>
        <w:ind w:left="284"/>
        <w:jc w:val="both"/>
        <w:rPr>
          <w:rFonts w:ascii="Arial" w:hAnsi="Arial" w:cs="Arial"/>
        </w:rPr>
      </w:pPr>
      <w:r>
        <w:rPr>
          <w:rFonts w:ascii="Arial" w:hAnsi="Arial" w:cs="Arial"/>
        </w:rPr>
        <w:t>The 1992 Firefighters</w:t>
      </w:r>
      <w:r w:rsidR="002B1DCB">
        <w:rPr>
          <w:rFonts w:ascii="Arial" w:hAnsi="Arial" w:cs="Arial"/>
        </w:rPr>
        <w:t>’</w:t>
      </w:r>
      <w:r>
        <w:rPr>
          <w:rFonts w:ascii="Arial" w:hAnsi="Arial" w:cs="Arial"/>
        </w:rPr>
        <w:t xml:space="preserve"> Pension Scheme </w:t>
      </w:r>
      <w:r w:rsidR="002B1DCB">
        <w:rPr>
          <w:rFonts w:ascii="Arial" w:hAnsi="Arial" w:cs="Arial"/>
        </w:rPr>
        <w:t>and the Firefighters’ Compensation Scheme have</w:t>
      </w:r>
      <w:r>
        <w:rPr>
          <w:rFonts w:ascii="Arial" w:hAnsi="Arial" w:cs="Arial"/>
        </w:rPr>
        <w:t xml:space="preserve"> been changed to remove the restriction on service from 6 April 1988 used in the calculation of a survivor</w:t>
      </w:r>
      <w:r w:rsidR="009E0326">
        <w:rPr>
          <w:rFonts w:ascii="Arial" w:hAnsi="Arial" w:cs="Arial"/>
        </w:rPr>
        <w:t>’</w:t>
      </w:r>
      <w:r>
        <w:rPr>
          <w:rFonts w:ascii="Arial" w:hAnsi="Arial" w:cs="Arial"/>
        </w:rPr>
        <w:t>s pension</w:t>
      </w:r>
      <w:r w:rsidRPr="00B77D47">
        <w:rPr>
          <w:rFonts w:ascii="Arial" w:hAnsi="Arial" w:cs="Arial"/>
        </w:rPr>
        <w:t xml:space="preserve"> </w:t>
      </w:r>
      <w:r>
        <w:rPr>
          <w:rFonts w:ascii="Arial" w:hAnsi="Arial" w:cs="Arial"/>
        </w:rPr>
        <w:t>to a civil partner or same sex marriage.</w:t>
      </w:r>
      <w:r w:rsidR="002A0BCD">
        <w:rPr>
          <w:rFonts w:ascii="Arial" w:hAnsi="Arial" w:cs="Arial"/>
        </w:rPr>
        <w:t xml:space="preserve">  This change applies retrospectively.</w:t>
      </w:r>
    </w:p>
    <w:p w14:paraId="6A7F5585" w14:textId="77777777" w:rsidR="002A0BCD" w:rsidRDefault="002A0BCD" w:rsidP="00256166">
      <w:pPr>
        <w:pStyle w:val="NormalWeb"/>
        <w:spacing w:before="0" w:beforeAutospacing="0" w:after="0" w:afterAutospacing="0"/>
        <w:ind w:left="284"/>
        <w:rPr>
          <w:rFonts w:ascii="Arial" w:hAnsi="Arial" w:cs="Arial"/>
        </w:rPr>
      </w:pPr>
    </w:p>
    <w:p w14:paraId="3200BA64" w14:textId="60FB5775" w:rsidR="002A0BCD" w:rsidRDefault="002A0BCD" w:rsidP="00AF058A">
      <w:pPr>
        <w:pStyle w:val="NormalWeb"/>
        <w:spacing w:before="0" w:beforeAutospacing="0" w:after="0" w:afterAutospacing="0"/>
        <w:ind w:left="284"/>
        <w:jc w:val="both"/>
        <w:rPr>
          <w:rFonts w:ascii="Arial" w:hAnsi="Arial" w:cs="Arial"/>
        </w:rPr>
      </w:pPr>
      <w:r>
        <w:rPr>
          <w:rFonts w:ascii="Arial" w:hAnsi="Arial" w:cs="Arial"/>
        </w:rPr>
        <w:t>This has the following effect;</w:t>
      </w:r>
    </w:p>
    <w:p w14:paraId="5D8EF549" w14:textId="77777777" w:rsidR="00256166" w:rsidRDefault="00256166" w:rsidP="00AF058A">
      <w:pPr>
        <w:pStyle w:val="NormalWeb"/>
        <w:spacing w:before="0" w:beforeAutospacing="0" w:after="0" w:afterAutospacing="0"/>
        <w:ind w:left="284"/>
        <w:jc w:val="both"/>
        <w:rPr>
          <w:rFonts w:ascii="Arial" w:hAnsi="Arial" w:cs="Arial"/>
        </w:rPr>
      </w:pPr>
    </w:p>
    <w:p w14:paraId="3F18224B" w14:textId="3EEDB8C1" w:rsidR="002A0BCD" w:rsidRDefault="002A0BCD" w:rsidP="00AF058A">
      <w:pPr>
        <w:pStyle w:val="NormalWeb"/>
        <w:numPr>
          <w:ilvl w:val="0"/>
          <w:numId w:val="3"/>
        </w:numPr>
        <w:spacing w:before="0" w:beforeAutospacing="0" w:after="0" w:afterAutospacing="0"/>
        <w:jc w:val="both"/>
        <w:rPr>
          <w:rFonts w:ascii="Arial" w:hAnsi="Arial" w:cs="Arial"/>
        </w:rPr>
      </w:pPr>
      <w:r>
        <w:rPr>
          <w:rFonts w:ascii="Arial" w:hAnsi="Arial" w:cs="Arial"/>
        </w:rPr>
        <w:t>If you are a firefighter member (whether you are active, have left or retired) and in a civil partnership or same sex marriage.  You do not need to do anything, the survivors pension payable on your death will automatically be calculated based on your full service with no restriction applied.</w:t>
      </w:r>
    </w:p>
    <w:p w14:paraId="00F425A5" w14:textId="77777777" w:rsidR="002A0BCD" w:rsidRDefault="002A0BCD" w:rsidP="00AF058A">
      <w:pPr>
        <w:pStyle w:val="NormalWeb"/>
        <w:spacing w:before="0" w:beforeAutospacing="0" w:after="0" w:afterAutospacing="0"/>
        <w:ind w:left="1004"/>
        <w:jc w:val="both"/>
        <w:rPr>
          <w:rFonts w:ascii="Arial" w:hAnsi="Arial" w:cs="Arial"/>
        </w:rPr>
      </w:pPr>
    </w:p>
    <w:p w14:paraId="56B8805A" w14:textId="77777777" w:rsidR="002B1DCB" w:rsidRDefault="002A0BCD" w:rsidP="00AF058A">
      <w:pPr>
        <w:pStyle w:val="NormalWeb"/>
        <w:numPr>
          <w:ilvl w:val="0"/>
          <w:numId w:val="3"/>
        </w:numPr>
        <w:spacing w:before="0" w:beforeAutospacing="0" w:after="0" w:afterAutospacing="0"/>
        <w:jc w:val="both"/>
        <w:rPr>
          <w:rFonts w:ascii="Arial" w:hAnsi="Arial" w:cs="Arial"/>
        </w:rPr>
      </w:pPr>
      <w:r>
        <w:rPr>
          <w:rFonts w:ascii="Arial" w:hAnsi="Arial" w:cs="Arial"/>
        </w:rPr>
        <w:t xml:space="preserve">If you are in receipt of a </w:t>
      </w:r>
    </w:p>
    <w:p w14:paraId="000D00E7" w14:textId="77777777" w:rsidR="00AF08F6" w:rsidRDefault="00AF08F6" w:rsidP="00AF058A">
      <w:pPr>
        <w:pStyle w:val="NormalWeb"/>
        <w:spacing w:before="0" w:beforeAutospacing="0" w:after="0" w:afterAutospacing="0"/>
        <w:ind w:left="1724"/>
        <w:jc w:val="both"/>
        <w:rPr>
          <w:rFonts w:ascii="Arial" w:hAnsi="Arial" w:cs="Arial"/>
        </w:rPr>
      </w:pPr>
    </w:p>
    <w:p w14:paraId="43661459" w14:textId="6434573F" w:rsidR="002B1DCB" w:rsidRDefault="00B06E0E" w:rsidP="00AF058A">
      <w:pPr>
        <w:pStyle w:val="NormalWeb"/>
        <w:numPr>
          <w:ilvl w:val="1"/>
          <w:numId w:val="3"/>
        </w:numPr>
        <w:spacing w:before="0" w:beforeAutospacing="0" w:after="0" w:afterAutospacing="0"/>
        <w:jc w:val="both"/>
        <w:rPr>
          <w:rFonts w:ascii="Arial" w:hAnsi="Arial" w:cs="Arial"/>
        </w:rPr>
      </w:pPr>
      <w:r>
        <w:rPr>
          <w:rFonts w:ascii="Arial" w:hAnsi="Arial" w:cs="Arial"/>
        </w:rPr>
        <w:t xml:space="preserve">Firefighters </w:t>
      </w:r>
      <w:r w:rsidR="00256166">
        <w:rPr>
          <w:rFonts w:ascii="Arial" w:hAnsi="Arial" w:cs="Arial"/>
        </w:rPr>
        <w:t>survivors pension</w:t>
      </w:r>
      <w:r w:rsidR="002B1DCB">
        <w:rPr>
          <w:rFonts w:ascii="Arial" w:hAnsi="Arial" w:cs="Arial"/>
        </w:rPr>
        <w:t xml:space="preserve"> from the 1992 scheme, and or</w:t>
      </w:r>
    </w:p>
    <w:p w14:paraId="13282AA3" w14:textId="77777777" w:rsidR="002B1DCB" w:rsidRDefault="002B1DCB" w:rsidP="00AF058A">
      <w:pPr>
        <w:pStyle w:val="NormalWeb"/>
        <w:spacing w:before="0" w:beforeAutospacing="0" w:after="0" w:afterAutospacing="0"/>
        <w:ind w:left="1724"/>
        <w:jc w:val="both"/>
        <w:rPr>
          <w:rFonts w:ascii="Arial" w:hAnsi="Arial" w:cs="Arial"/>
        </w:rPr>
      </w:pPr>
    </w:p>
    <w:p w14:paraId="70595D7A" w14:textId="70B606AC" w:rsidR="002B1DCB" w:rsidRDefault="002B1DCB" w:rsidP="00AF058A">
      <w:pPr>
        <w:pStyle w:val="NormalWeb"/>
        <w:numPr>
          <w:ilvl w:val="1"/>
          <w:numId w:val="3"/>
        </w:numPr>
        <w:spacing w:before="0" w:beforeAutospacing="0" w:after="0" w:afterAutospacing="0"/>
        <w:jc w:val="both"/>
        <w:rPr>
          <w:rFonts w:ascii="Arial" w:hAnsi="Arial" w:cs="Arial"/>
        </w:rPr>
      </w:pPr>
      <w:r>
        <w:rPr>
          <w:rFonts w:ascii="Arial" w:hAnsi="Arial" w:cs="Arial"/>
        </w:rPr>
        <w:t>Survivors pension from the compensation scheme (under the rules of the compensation scheme, a survivors pension is only paid where the former Firefighter died from the effect of a qualifying injury or of infirmity of mind or body occasioned by a qualifying injury)</w:t>
      </w:r>
    </w:p>
    <w:p w14:paraId="122AE88D" w14:textId="77777777" w:rsidR="002B1DCB" w:rsidRDefault="002B1DCB" w:rsidP="00AF058A">
      <w:pPr>
        <w:pStyle w:val="NormalWeb"/>
        <w:spacing w:before="0" w:beforeAutospacing="0" w:after="0" w:afterAutospacing="0"/>
        <w:ind w:left="1724"/>
        <w:jc w:val="both"/>
        <w:rPr>
          <w:rFonts w:ascii="Arial" w:hAnsi="Arial" w:cs="Arial"/>
        </w:rPr>
      </w:pPr>
    </w:p>
    <w:p w14:paraId="0A70BFF0" w14:textId="699D971C" w:rsidR="00256166" w:rsidRDefault="00B06E0E" w:rsidP="00AF058A">
      <w:pPr>
        <w:pStyle w:val="NormalWeb"/>
        <w:spacing w:before="0" w:beforeAutospacing="0" w:after="0" w:afterAutospacing="0"/>
        <w:ind w:left="1004"/>
        <w:jc w:val="both"/>
        <w:rPr>
          <w:rFonts w:ascii="Arial" w:hAnsi="Arial" w:cs="Arial"/>
        </w:rPr>
      </w:pPr>
      <w:r>
        <w:rPr>
          <w:rFonts w:ascii="Arial" w:hAnsi="Arial" w:cs="Arial"/>
        </w:rPr>
        <w:t>and were civil partnered or in a same-sex marriage</w:t>
      </w:r>
      <w:r w:rsidR="002A0BCD">
        <w:rPr>
          <w:rFonts w:ascii="Arial" w:hAnsi="Arial" w:cs="Arial"/>
        </w:rPr>
        <w:t xml:space="preserve">, your pension may have been calculated based on </w:t>
      </w:r>
      <w:r>
        <w:rPr>
          <w:rFonts w:ascii="Arial" w:hAnsi="Arial" w:cs="Arial"/>
        </w:rPr>
        <w:t xml:space="preserve">restricted </w:t>
      </w:r>
      <w:r w:rsidR="002A0BCD">
        <w:rPr>
          <w:rFonts w:ascii="Arial" w:hAnsi="Arial" w:cs="Arial"/>
        </w:rPr>
        <w:t>service from 6 April 1988 only.  Your pension</w:t>
      </w:r>
      <w:r w:rsidR="00256166">
        <w:rPr>
          <w:rFonts w:ascii="Arial" w:hAnsi="Arial" w:cs="Arial"/>
        </w:rPr>
        <w:t xml:space="preserve"> in payment </w:t>
      </w:r>
      <w:r w:rsidR="00D47794">
        <w:rPr>
          <w:rFonts w:ascii="Arial" w:hAnsi="Arial" w:cs="Arial"/>
        </w:rPr>
        <w:t xml:space="preserve">may </w:t>
      </w:r>
      <w:r w:rsidR="00256166">
        <w:rPr>
          <w:rFonts w:ascii="Arial" w:hAnsi="Arial" w:cs="Arial"/>
        </w:rPr>
        <w:t>need to be recalculated to include the firefighter member’s full service.</w:t>
      </w:r>
    </w:p>
    <w:p w14:paraId="651E08E7" w14:textId="77777777" w:rsidR="00D47794" w:rsidRDefault="00D47794" w:rsidP="002B1DCB">
      <w:pPr>
        <w:pStyle w:val="NormalWeb"/>
        <w:spacing w:before="0" w:beforeAutospacing="0" w:after="0" w:afterAutospacing="0"/>
        <w:ind w:left="1004"/>
        <w:rPr>
          <w:rFonts w:ascii="Arial" w:hAnsi="Arial" w:cs="Arial"/>
        </w:rPr>
      </w:pPr>
    </w:p>
    <w:p w14:paraId="66506BF8" w14:textId="563022E6" w:rsidR="00AF08F6" w:rsidRDefault="00D47794" w:rsidP="00AF058A">
      <w:pPr>
        <w:pStyle w:val="NormalWeb"/>
        <w:numPr>
          <w:ilvl w:val="0"/>
          <w:numId w:val="3"/>
        </w:numPr>
        <w:spacing w:before="0" w:beforeAutospacing="0" w:after="0" w:afterAutospacing="0"/>
        <w:jc w:val="both"/>
        <w:rPr>
          <w:rFonts w:ascii="Arial" w:hAnsi="Arial" w:cs="Arial"/>
        </w:rPr>
      </w:pPr>
      <w:r>
        <w:rPr>
          <w:rFonts w:ascii="Arial" w:hAnsi="Arial" w:cs="Arial"/>
        </w:rPr>
        <w:t>If a family member</w:t>
      </w:r>
      <w:r w:rsidR="00AF08F6">
        <w:rPr>
          <w:rFonts w:ascii="Arial" w:hAnsi="Arial" w:cs="Arial"/>
        </w:rPr>
        <w:t xml:space="preserve"> or friend, who has subsequently died</w:t>
      </w:r>
      <w:r>
        <w:rPr>
          <w:rFonts w:ascii="Arial" w:hAnsi="Arial" w:cs="Arial"/>
        </w:rPr>
        <w:t xml:space="preserve"> was in receipt of </w:t>
      </w:r>
    </w:p>
    <w:p w14:paraId="772F2019" w14:textId="77777777" w:rsidR="00AF08F6" w:rsidRDefault="00AF08F6" w:rsidP="00AF058A">
      <w:pPr>
        <w:pStyle w:val="NormalWeb"/>
        <w:spacing w:before="0" w:beforeAutospacing="0" w:after="0" w:afterAutospacing="0"/>
        <w:ind w:left="1004"/>
        <w:jc w:val="both"/>
        <w:rPr>
          <w:rFonts w:ascii="Arial" w:hAnsi="Arial" w:cs="Arial"/>
        </w:rPr>
      </w:pPr>
    </w:p>
    <w:p w14:paraId="1A165E73" w14:textId="692EED9F" w:rsidR="00D47794" w:rsidRDefault="00D47794" w:rsidP="00AF058A">
      <w:pPr>
        <w:pStyle w:val="NormalWeb"/>
        <w:numPr>
          <w:ilvl w:val="1"/>
          <w:numId w:val="3"/>
        </w:numPr>
        <w:spacing w:before="0" w:beforeAutospacing="0" w:after="0" w:afterAutospacing="0"/>
        <w:jc w:val="both"/>
        <w:rPr>
          <w:rFonts w:ascii="Arial" w:hAnsi="Arial" w:cs="Arial"/>
        </w:rPr>
      </w:pPr>
      <w:r w:rsidRPr="00AF08F6">
        <w:rPr>
          <w:rFonts w:ascii="Arial" w:hAnsi="Arial" w:cs="Arial"/>
        </w:rPr>
        <w:t xml:space="preserve">a survivors pension </w:t>
      </w:r>
      <w:r w:rsidR="00AF08F6" w:rsidRPr="00AF08F6">
        <w:rPr>
          <w:rFonts w:ascii="Arial" w:hAnsi="Arial" w:cs="Arial"/>
        </w:rPr>
        <w:t>from the Firefighters scheme</w:t>
      </w:r>
      <w:r w:rsidR="00AF08F6">
        <w:rPr>
          <w:rFonts w:ascii="Arial" w:hAnsi="Arial" w:cs="Arial"/>
        </w:rPr>
        <w:t>, and or</w:t>
      </w:r>
    </w:p>
    <w:p w14:paraId="2554840F" w14:textId="77777777" w:rsidR="00AF08F6" w:rsidRDefault="00AF08F6" w:rsidP="00AF058A">
      <w:pPr>
        <w:pStyle w:val="NormalWeb"/>
        <w:spacing w:before="0" w:beforeAutospacing="0" w:after="0" w:afterAutospacing="0"/>
        <w:ind w:left="1724"/>
        <w:jc w:val="both"/>
        <w:rPr>
          <w:rFonts w:ascii="Arial" w:hAnsi="Arial" w:cs="Arial"/>
        </w:rPr>
      </w:pPr>
    </w:p>
    <w:p w14:paraId="67322A28" w14:textId="77777777" w:rsidR="00D47794" w:rsidRDefault="00D47794" w:rsidP="00AF058A">
      <w:pPr>
        <w:pStyle w:val="NormalWeb"/>
        <w:numPr>
          <w:ilvl w:val="1"/>
          <w:numId w:val="3"/>
        </w:numPr>
        <w:spacing w:before="0" w:beforeAutospacing="0" w:after="0" w:afterAutospacing="0"/>
        <w:jc w:val="both"/>
        <w:rPr>
          <w:rFonts w:ascii="Arial" w:hAnsi="Arial" w:cs="Arial"/>
        </w:rPr>
      </w:pPr>
      <w:r>
        <w:rPr>
          <w:rFonts w:ascii="Arial" w:hAnsi="Arial" w:cs="Arial"/>
        </w:rPr>
        <w:t>Survivors pension from the compensation scheme (under the rules of the compensation scheme, a survivors pension is only paid where the former Firefighter died from the effect of a qualifying injury or of infirmity of mind or body occasioned by a qualifying injury)</w:t>
      </w:r>
    </w:p>
    <w:p w14:paraId="0A882C35" w14:textId="77777777" w:rsidR="00D47794" w:rsidRDefault="00D47794" w:rsidP="00AF058A">
      <w:pPr>
        <w:pStyle w:val="NormalWeb"/>
        <w:spacing w:before="0" w:beforeAutospacing="0" w:after="0" w:afterAutospacing="0"/>
        <w:ind w:left="1724"/>
        <w:jc w:val="both"/>
        <w:rPr>
          <w:rFonts w:ascii="Arial" w:hAnsi="Arial" w:cs="Arial"/>
        </w:rPr>
      </w:pPr>
    </w:p>
    <w:p w14:paraId="2514A168" w14:textId="0DE84256" w:rsidR="00D47794" w:rsidRDefault="00AF08F6" w:rsidP="00AF058A">
      <w:pPr>
        <w:pStyle w:val="NormalWeb"/>
        <w:spacing w:before="0" w:beforeAutospacing="0" w:after="0" w:afterAutospacing="0"/>
        <w:ind w:left="1004"/>
        <w:jc w:val="both"/>
        <w:rPr>
          <w:rFonts w:ascii="Arial" w:hAnsi="Arial" w:cs="Arial"/>
        </w:rPr>
      </w:pPr>
      <w:r w:rsidRPr="00AF08F6">
        <w:rPr>
          <w:rFonts w:ascii="Arial" w:hAnsi="Arial" w:cs="Arial"/>
        </w:rPr>
        <w:t xml:space="preserve">as a result of being </w:t>
      </w:r>
      <w:r w:rsidRPr="00FB28C4">
        <w:rPr>
          <w:rFonts w:ascii="Arial" w:hAnsi="Arial" w:cs="Arial"/>
        </w:rPr>
        <w:t>in a same-sex marriage or civil partnership with a member of the Firefighters scheme</w:t>
      </w:r>
      <w:r>
        <w:rPr>
          <w:rFonts w:ascii="Arial" w:hAnsi="Arial" w:cs="Arial"/>
        </w:rPr>
        <w:t xml:space="preserve">, the pension </w:t>
      </w:r>
      <w:r w:rsidR="00D47794">
        <w:rPr>
          <w:rFonts w:ascii="Arial" w:hAnsi="Arial" w:cs="Arial"/>
        </w:rPr>
        <w:t xml:space="preserve">may have been calculated based on restricted service from 6 April 1988 only.  </w:t>
      </w:r>
    </w:p>
    <w:p w14:paraId="4C487423" w14:textId="77777777" w:rsidR="00D47794" w:rsidRDefault="00D47794" w:rsidP="00AF058A">
      <w:pPr>
        <w:pStyle w:val="NormalWeb"/>
        <w:spacing w:before="0" w:beforeAutospacing="0" w:after="0" w:afterAutospacing="0"/>
        <w:ind w:left="1004"/>
        <w:jc w:val="both"/>
        <w:rPr>
          <w:rFonts w:ascii="Arial" w:hAnsi="Arial" w:cs="Arial"/>
        </w:rPr>
      </w:pPr>
    </w:p>
    <w:p w14:paraId="59E250C2" w14:textId="728796BA" w:rsidR="00256166" w:rsidRPr="00AF058A" w:rsidRDefault="00D47794" w:rsidP="00AF058A">
      <w:pPr>
        <w:pStyle w:val="NormalWeb"/>
        <w:spacing w:before="0" w:beforeAutospacing="0" w:after="0" w:afterAutospacing="0"/>
        <w:ind w:left="1004"/>
        <w:jc w:val="both"/>
        <w:rPr>
          <w:rFonts w:ascii="Arial" w:hAnsi="Arial" w:cs="Arial"/>
          <w:b/>
        </w:rPr>
      </w:pPr>
      <w:r w:rsidRPr="00AF058A">
        <w:rPr>
          <w:rFonts w:ascii="Arial" w:hAnsi="Arial" w:cs="Arial"/>
          <w:b/>
        </w:rPr>
        <w:t>If you believe that you or someone you know may be affected by these changes you should contact [</w:t>
      </w:r>
      <w:r w:rsidRPr="00AF058A">
        <w:rPr>
          <w:rFonts w:ascii="Arial" w:hAnsi="Arial" w:cs="Arial"/>
          <w:b/>
          <w:highlight w:val="yellow"/>
        </w:rPr>
        <w:t>enter contact details</w:t>
      </w:r>
      <w:r w:rsidRPr="00AF058A">
        <w:rPr>
          <w:rFonts w:ascii="Arial" w:hAnsi="Arial" w:cs="Arial"/>
          <w:b/>
        </w:rPr>
        <w:t xml:space="preserve">] for further information. </w:t>
      </w:r>
    </w:p>
    <w:p w14:paraId="4A4C24B2" w14:textId="1D6F5BF9" w:rsidR="00DF1396" w:rsidRDefault="00DF1396" w:rsidP="00256166">
      <w:pPr>
        <w:autoSpaceDE w:val="0"/>
        <w:autoSpaceDN w:val="0"/>
        <w:adjustRightInd w:val="0"/>
        <w:spacing w:after="0" w:line="240" w:lineRule="auto"/>
        <w:jc w:val="both"/>
        <w:rPr>
          <w:rFonts w:ascii="Arial" w:hAnsi="Arial" w:cs="Arial"/>
          <w:color w:val="000000"/>
          <w:sz w:val="24"/>
        </w:rPr>
      </w:pPr>
    </w:p>
    <w:p w14:paraId="4277A11C" w14:textId="77777777" w:rsidR="00F32225" w:rsidRPr="000F76C9" w:rsidRDefault="00F32225" w:rsidP="00547379">
      <w:pPr>
        <w:autoSpaceDE w:val="0"/>
        <w:autoSpaceDN w:val="0"/>
        <w:adjustRightInd w:val="0"/>
        <w:spacing w:after="0" w:line="240" w:lineRule="auto"/>
        <w:jc w:val="both"/>
        <w:rPr>
          <w:rFonts w:ascii="Arial" w:hAnsi="Arial" w:cs="Arial"/>
          <w:color w:val="000000"/>
          <w:sz w:val="24"/>
        </w:rPr>
      </w:pPr>
    </w:p>
    <w:p w14:paraId="22E2C7FB" w14:textId="2883A96B" w:rsidR="00045290" w:rsidRDefault="00045290" w:rsidP="00246906">
      <w:pPr>
        <w:pStyle w:val="Default"/>
      </w:pPr>
    </w:p>
    <w:p w14:paraId="37B2588A" w14:textId="77777777" w:rsidR="00627088" w:rsidRDefault="00627088" w:rsidP="00246906">
      <w:pPr>
        <w:pStyle w:val="Default"/>
      </w:pPr>
    </w:p>
    <w:p w14:paraId="0638EC1F" w14:textId="77777777" w:rsidR="00E5328D" w:rsidRDefault="00E5328D" w:rsidP="00547379">
      <w:pPr>
        <w:autoSpaceDE w:val="0"/>
        <w:autoSpaceDN w:val="0"/>
        <w:adjustRightInd w:val="0"/>
        <w:spacing w:after="0" w:line="240" w:lineRule="auto"/>
        <w:jc w:val="both"/>
        <w:rPr>
          <w:rFonts w:ascii="Arial" w:hAnsi="Arial" w:cs="Arial"/>
          <w:color w:val="000000"/>
          <w:sz w:val="24"/>
        </w:rPr>
      </w:pPr>
    </w:p>
    <w:p w14:paraId="7F4BC570" w14:textId="77777777" w:rsidR="00E5328D" w:rsidRDefault="00E5328D" w:rsidP="00547379">
      <w:pPr>
        <w:autoSpaceDE w:val="0"/>
        <w:autoSpaceDN w:val="0"/>
        <w:adjustRightInd w:val="0"/>
        <w:spacing w:after="0" w:line="240" w:lineRule="auto"/>
        <w:jc w:val="both"/>
        <w:rPr>
          <w:rFonts w:ascii="Arial" w:hAnsi="Arial" w:cs="Arial"/>
          <w:color w:val="000000"/>
          <w:sz w:val="24"/>
        </w:rPr>
      </w:pPr>
    </w:p>
    <w:p w14:paraId="3F1F246D" w14:textId="0521C40D" w:rsidR="00E5328D" w:rsidRPr="00547379" w:rsidRDefault="00E5328D" w:rsidP="00E5328D">
      <w:pPr>
        <w:pStyle w:val="Default"/>
        <w:rPr>
          <w:rFonts w:asciiTheme="minorHAnsi" w:hAnsiTheme="minorHAnsi"/>
          <w:color w:val="A6A6A6" w:themeColor="background1" w:themeShade="A6"/>
          <w:sz w:val="20"/>
          <w:szCs w:val="18"/>
        </w:rPr>
      </w:pPr>
      <w:r>
        <w:rPr>
          <w:rFonts w:asciiTheme="minorHAnsi" w:hAnsiTheme="minorHAnsi"/>
          <w:b/>
          <w:bCs/>
          <w:color w:val="A6A6A6" w:themeColor="background1" w:themeShade="A6"/>
          <w:sz w:val="20"/>
          <w:szCs w:val="18"/>
        </w:rPr>
        <w:t>D</w:t>
      </w:r>
      <w:r w:rsidRPr="00547379">
        <w:rPr>
          <w:rFonts w:asciiTheme="minorHAnsi" w:hAnsiTheme="minorHAnsi"/>
          <w:b/>
          <w:bCs/>
          <w:color w:val="A6A6A6" w:themeColor="background1" w:themeShade="A6"/>
          <w:sz w:val="20"/>
          <w:szCs w:val="18"/>
        </w:rPr>
        <w:t xml:space="preserve">isclaimer </w:t>
      </w:r>
    </w:p>
    <w:p w14:paraId="2478AFEF" w14:textId="7ADFE3A8" w:rsidR="00E5328D" w:rsidRDefault="00E5328D" w:rsidP="00547379">
      <w:pPr>
        <w:autoSpaceDE w:val="0"/>
        <w:autoSpaceDN w:val="0"/>
        <w:adjustRightInd w:val="0"/>
        <w:spacing w:after="0" w:line="240" w:lineRule="auto"/>
        <w:jc w:val="both"/>
        <w:rPr>
          <w:color w:val="A6A6A6" w:themeColor="background1" w:themeShade="A6"/>
          <w:sz w:val="20"/>
          <w:szCs w:val="18"/>
        </w:rPr>
      </w:pPr>
      <w:r w:rsidRPr="00547379">
        <w:rPr>
          <w:color w:val="A6A6A6" w:themeColor="background1" w:themeShade="A6"/>
          <w:sz w:val="20"/>
          <w:szCs w:val="18"/>
        </w:rPr>
        <w:t xml:space="preserve">This leaflet has been prepared based on the </w:t>
      </w:r>
      <w:r>
        <w:rPr>
          <w:color w:val="A6A6A6" w:themeColor="background1" w:themeShade="A6"/>
          <w:sz w:val="20"/>
          <w:szCs w:val="18"/>
        </w:rPr>
        <w:t>SAB</w:t>
      </w:r>
      <w:r w:rsidRPr="00547379">
        <w:rPr>
          <w:color w:val="A6A6A6" w:themeColor="background1" w:themeShade="A6"/>
          <w:sz w:val="20"/>
          <w:szCs w:val="18"/>
        </w:rPr>
        <w:t xml:space="preserve"> Secretariat's understanding of the information presently available including the relevant legislation governing the </w:t>
      </w:r>
      <w:r>
        <w:rPr>
          <w:color w:val="A6A6A6" w:themeColor="background1" w:themeShade="A6"/>
          <w:sz w:val="20"/>
          <w:szCs w:val="18"/>
        </w:rPr>
        <w:t>Firefighters’</w:t>
      </w:r>
      <w:r w:rsidRPr="00547379">
        <w:rPr>
          <w:color w:val="A6A6A6" w:themeColor="background1" w:themeShade="A6"/>
          <w:sz w:val="20"/>
          <w:szCs w:val="18"/>
        </w:rPr>
        <w:t xml:space="preserve"> Pension Scheme</w:t>
      </w:r>
      <w:r>
        <w:rPr>
          <w:color w:val="A6A6A6" w:themeColor="background1" w:themeShade="A6"/>
          <w:sz w:val="20"/>
          <w:szCs w:val="18"/>
        </w:rPr>
        <w:t>s</w:t>
      </w:r>
      <w:r w:rsidRPr="00547379">
        <w:rPr>
          <w:color w:val="A6A6A6" w:themeColor="background1" w:themeShade="A6"/>
          <w:sz w:val="20"/>
          <w:szCs w:val="18"/>
        </w:rPr>
        <w:t xml:space="preserve"> and associated overriding legislation. It represents the views of the Secretariat and should not be treated as a complete and authoritative statement of the law. Readers may wish, or will need, to take their own legal advice on the interpretation of any particular piece of legislation. No responsibility whatsoever will be assumed by the Local Government Association for any direct or consequential loss, financial or otherwise, damage or inconvenience, or any other obligation or liability incurred by reads relaying on information contained herein.</w:t>
      </w:r>
    </w:p>
    <w:p w14:paraId="7B6AD01E" w14:textId="77777777" w:rsidR="00E5328D" w:rsidRDefault="00E5328D" w:rsidP="00547379">
      <w:pPr>
        <w:autoSpaceDE w:val="0"/>
        <w:autoSpaceDN w:val="0"/>
        <w:adjustRightInd w:val="0"/>
        <w:spacing w:after="0" w:line="240" w:lineRule="auto"/>
        <w:jc w:val="both"/>
        <w:rPr>
          <w:color w:val="A6A6A6" w:themeColor="background1" w:themeShade="A6"/>
          <w:sz w:val="20"/>
          <w:szCs w:val="18"/>
        </w:rPr>
      </w:pPr>
    </w:p>
    <w:p w14:paraId="20C62D6C" w14:textId="77777777" w:rsidR="00E5328D" w:rsidRDefault="00E5328D" w:rsidP="00E5328D">
      <w:pPr>
        <w:autoSpaceDE w:val="0"/>
        <w:autoSpaceDN w:val="0"/>
        <w:adjustRightInd w:val="0"/>
        <w:spacing w:after="0" w:line="240" w:lineRule="auto"/>
        <w:jc w:val="both"/>
        <w:rPr>
          <w:color w:val="A6A6A6" w:themeColor="background1" w:themeShade="A6"/>
          <w:sz w:val="20"/>
          <w:szCs w:val="18"/>
        </w:rPr>
      </w:pPr>
      <w:r w:rsidRPr="00E5328D">
        <w:rPr>
          <w:color w:val="A6A6A6" w:themeColor="background1" w:themeShade="A6"/>
          <w:sz w:val="20"/>
          <w:szCs w:val="18"/>
        </w:rPr>
        <w:t xml:space="preserve">Please address any queries on the content of this factsheet to </w:t>
      </w:r>
      <w:hyperlink r:id="rId13" w:history="1">
        <w:r w:rsidRPr="00E5328D">
          <w:rPr>
            <w:rStyle w:val="Hyperlink"/>
            <w:color w:val="03407D" w:themeColor="hyperlink" w:themeShade="A6"/>
            <w:sz w:val="20"/>
            <w:szCs w:val="18"/>
          </w:rPr>
          <w:t>bluelight.pensions@local.gov.uk</w:t>
        </w:r>
      </w:hyperlink>
      <w:r w:rsidRPr="00E5328D">
        <w:rPr>
          <w:color w:val="A6A6A6" w:themeColor="background1" w:themeShade="A6"/>
          <w:sz w:val="20"/>
          <w:szCs w:val="18"/>
        </w:rPr>
        <w:t xml:space="preserve"> </w:t>
      </w:r>
    </w:p>
    <w:p w14:paraId="01C53B94" w14:textId="77777777" w:rsidR="00E5328D" w:rsidRPr="00E5328D" w:rsidRDefault="00E5328D" w:rsidP="00E5328D">
      <w:pPr>
        <w:autoSpaceDE w:val="0"/>
        <w:autoSpaceDN w:val="0"/>
        <w:adjustRightInd w:val="0"/>
        <w:spacing w:after="0" w:line="240" w:lineRule="auto"/>
        <w:jc w:val="both"/>
        <w:rPr>
          <w:color w:val="A6A6A6" w:themeColor="background1" w:themeShade="A6"/>
          <w:sz w:val="20"/>
          <w:szCs w:val="18"/>
        </w:rPr>
      </w:pPr>
    </w:p>
    <w:p w14:paraId="0B92FB7A" w14:textId="56AE4E7C" w:rsidR="00E5328D" w:rsidRPr="00547379" w:rsidRDefault="00AF08F6" w:rsidP="00547379">
      <w:pPr>
        <w:autoSpaceDE w:val="0"/>
        <w:autoSpaceDN w:val="0"/>
        <w:adjustRightInd w:val="0"/>
        <w:spacing w:after="0" w:line="240" w:lineRule="auto"/>
        <w:jc w:val="both"/>
        <w:rPr>
          <w:rFonts w:cs="Arial"/>
          <w:color w:val="A6A6A6" w:themeColor="background1" w:themeShade="A6"/>
          <w:sz w:val="28"/>
        </w:rPr>
      </w:pPr>
      <w:r>
        <w:rPr>
          <w:color w:val="A6A6A6" w:themeColor="background1" w:themeShade="A6"/>
          <w:sz w:val="20"/>
          <w:szCs w:val="18"/>
        </w:rPr>
        <w:t xml:space="preserve">May </w:t>
      </w:r>
      <w:r w:rsidR="00256166">
        <w:rPr>
          <w:color w:val="A6A6A6" w:themeColor="background1" w:themeShade="A6"/>
          <w:sz w:val="20"/>
          <w:szCs w:val="18"/>
        </w:rPr>
        <w:t>2019</w:t>
      </w:r>
    </w:p>
    <w:sectPr w:rsidR="00E5328D" w:rsidRPr="00547379">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65333" w14:textId="77777777" w:rsidR="009E0326" w:rsidRDefault="009E0326" w:rsidP="00DF4D2E">
      <w:pPr>
        <w:spacing w:after="0" w:line="240" w:lineRule="auto"/>
      </w:pPr>
      <w:r>
        <w:separator/>
      </w:r>
    </w:p>
  </w:endnote>
  <w:endnote w:type="continuationSeparator" w:id="0">
    <w:p w14:paraId="76225BE8" w14:textId="77777777" w:rsidR="009E0326" w:rsidRDefault="009E0326" w:rsidP="00DF4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387AE" w14:textId="702A64C6" w:rsidR="009E0326" w:rsidRPr="00547379" w:rsidRDefault="009E0326">
    <w:pPr>
      <w:pStyle w:val="Footer"/>
      <w:rPr>
        <w:color w:val="A6A6A6" w:themeColor="background1" w:themeShade="A6"/>
      </w:rPr>
    </w:pPr>
    <w:r>
      <w:rPr>
        <w:color w:val="A6A6A6" w:themeColor="background1" w:themeShade="A6"/>
      </w:rPr>
      <w:t>2019</w:t>
    </w:r>
    <w:r w:rsidRPr="00547379">
      <w:rPr>
        <w:color w:val="A6A6A6" w:themeColor="background1" w:themeShade="A6"/>
      </w:rPr>
      <w:t xml:space="preserve"> amendments - member disclosure v1 </w:t>
    </w:r>
    <w:r>
      <w:rPr>
        <w:color w:val="A6A6A6" w:themeColor="background1" w:themeShade="A6"/>
      </w:rPr>
      <w:t>15 March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29EBC" w14:textId="77777777" w:rsidR="009E0326" w:rsidRDefault="009E0326" w:rsidP="00DF4D2E">
      <w:pPr>
        <w:spacing w:after="0" w:line="240" w:lineRule="auto"/>
      </w:pPr>
      <w:r>
        <w:separator/>
      </w:r>
    </w:p>
  </w:footnote>
  <w:footnote w:type="continuationSeparator" w:id="0">
    <w:p w14:paraId="533C9B3B" w14:textId="77777777" w:rsidR="009E0326" w:rsidRDefault="009E0326" w:rsidP="00DF4D2E">
      <w:pPr>
        <w:spacing w:after="0" w:line="240" w:lineRule="auto"/>
      </w:pPr>
      <w:r>
        <w:continuationSeparator/>
      </w:r>
    </w:p>
  </w:footnote>
  <w:footnote w:id="1">
    <w:p w14:paraId="1F5E9BD6" w14:textId="5D4AE63B" w:rsidR="009E0326" w:rsidRDefault="009E0326">
      <w:pPr>
        <w:pStyle w:val="FootnoteText"/>
      </w:pPr>
      <w:r>
        <w:rPr>
          <w:rStyle w:val="FootnoteReference"/>
        </w:rPr>
        <w:footnoteRef/>
      </w:r>
      <w:r>
        <w:t xml:space="preserve"> Walker v </w:t>
      </w:r>
      <w:proofErr w:type="spellStart"/>
      <w:r>
        <w:t>Innospec</w:t>
      </w:r>
      <w:proofErr w:type="spellEnd"/>
      <w:r>
        <w:t xml:space="preserve"> Limited and others - </w:t>
      </w:r>
      <w:hyperlink r:id="rId1" w:history="1">
        <w:r w:rsidRPr="00FC3DF2">
          <w:rPr>
            <w:rStyle w:val="Hyperlink"/>
          </w:rPr>
          <w:t>https://www.supremecourt.uk/cases/uksc-2016-0090.html</w:t>
        </w:r>
      </w:hyperlink>
      <w:r>
        <w:t xml:space="preserve"> </w:t>
      </w:r>
    </w:p>
  </w:footnote>
  <w:footnote w:id="2">
    <w:p w14:paraId="5A40F9EB" w14:textId="77777777" w:rsidR="009E0326" w:rsidRDefault="009E0326" w:rsidP="00256166">
      <w:pPr>
        <w:pStyle w:val="FootnoteText"/>
      </w:pPr>
      <w:r>
        <w:rPr>
          <w:rStyle w:val="FootnoteReference"/>
        </w:rPr>
        <w:footnoteRef/>
      </w:r>
      <w:r>
        <w:t xml:space="preserve"> Formed under the Civil Partnership Act 2004 </w:t>
      </w:r>
      <w:hyperlink r:id="rId2" w:history="1">
        <w:r w:rsidRPr="00C52134">
          <w:rPr>
            <w:rStyle w:val="Hyperlink"/>
          </w:rPr>
          <w:t>http://www.legislation.gov.uk/ukpga/2004/33/section/1</w:t>
        </w:r>
      </w:hyperlink>
      <w:r>
        <w:t xml:space="preserve"> </w:t>
      </w:r>
    </w:p>
  </w:footnote>
  <w:footnote w:id="3">
    <w:p w14:paraId="09C0853D" w14:textId="77777777" w:rsidR="009E0326" w:rsidRDefault="009E0326" w:rsidP="00256166">
      <w:pPr>
        <w:pStyle w:val="FootnoteText"/>
      </w:pPr>
      <w:r>
        <w:rPr>
          <w:rStyle w:val="FootnoteReference"/>
        </w:rPr>
        <w:footnoteRef/>
      </w:r>
      <w:r>
        <w:t xml:space="preserve"> Formed under the Marriage (Same Sex Couples) Act 2013 </w:t>
      </w:r>
      <w:hyperlink r:id="rId3" w:history="1">
        <w:r w:rsidRPr="00C52134">
          <w:rPr>
            <w:rStyle w:val="Hyperlink"/>
          </w:rPr>
          <w:t>http://www.legislation.gov.uk/ukpga/2013/30/contents/enacted/data.htm</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616DF"/>
    <w:multiLevelType w:val="hybridMultilevel"/>
    <w:tmpl w:val="48DCA282"/>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688C0709"/>
    <w:multiLevelType w:val="hybridMultilevel"/>
    <w:tmpl w:val="2DA46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0F786B"/>
    <w:multiLevelType w:val="hybridMultilevel"/>
    <w:tmpl w:val="9E14D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906"/>
    <w:rsid w:val="00024D90"/>
    <w:rsid w:val="00042924"/>
    <w:rsid w:val="00042F95"/>
    <w:rsid w:val="00045290"/>
    <w:rsid w:val="000529FF"/>
    <w:rsid w:val="0005522B"/>
    <w:rsid w:val="000804D0"/>
    <w:rsid w:val="00085FE5"/>
    <w:rsid w:val="000A24CA"/>
    <w:rsid w:val="000A3A1E"/>
    <w:rsid w:val="000A608C"/>
    <w:rsid w:val="000B1295"/>
    <w:rsid w:val="000E1B61"/>
    <w:rsid w:val="000E7A15"/>
    <w:rsid w:val="000F12BC"/>
    <w:rsid w:val="000F30FC"/>
    <w:rsid w:val="000F76C9"/>
    <w:rsid w:val="00101752"/>
    <w:rsid w:val="001346A8"/>
    <w:rsid w:val="0014059E"/>
    <w:rsid w:val="0014406A"/>
    <w:rsid w:val="00163DB6"/>
    <w:rsid w:val="001A206F"/>
    <w:rsid w:val="001A3B25"/>
    <w:rsid w:val="001B4C8D"/>
    <w:rsid w:val="001D571D"/>
    <w:rsid w:val="001D5A30"/>
    <w:rsid w:val="00246906"/>
    <w:rsid w:val="00256166"/>
    <w:rsid w:val="00266944"/>
    <w:rsid w:val="00275674"/>
    <w:rsid w:val="0028039D"/>
    <w:rsid w:val="002A0BCD"/>
    <w:rsid w:val="002B1DCB"/>
    <w:rsid w:val="002B7E68"/>
    <w:rsid w:val="002C160A"/>
    <w:rsid w:val="002E1B95"/>
    <w:rsid w:val="002F2FF7"/>
    <w:rsid w:val="00304359"/>
    <w:rsid w:val="00317CC9"/>
    <w:rsid w:val="003204D0"/>
    <w:rsid w:val="00330A0B"/>
    <w:rsid w:val="003353FC"/>
    <w:rsid w:val="00336C33"/>
    <w:rsid w:val="00362093"/>
    <w:rsid w:val="003E6A2D"/>
    <w:rsid w:val="00420AFE"/>
    <w:rsid w:val="00420E8E"/>
    <w:rsid w:val="00435D3C"/>
    <w:rsid w:val="004442BF"/>
    <w:rsid w:val="00453E63"/>
    <w:rsid w:val="00455A5A"/>
    <w:rsid w:val="00496634"/>
    <w:rsid w:val="004D6576"/>
    <w:rsid w:val="005069A8"/>
    <w:rsid w:val="00531F6A"/>
    <w:rsid w:val="00547379"/>
    <w:rsid w:val="00551BB0"/>
    <w:rsid w:val="005546F1"/>
    <w:rsid w:val="00572840"/>
    <w:rsid w:val="00574DB7"/>
    <w:rsid w:val="00596BE8"/>
    <w:rsid w:val="006035C0"/>
    <w:rsid w:val="00627088"/>
    <w:rsid w:val="00670D05"/>
    <w:rsid w:val="006718B5"/>
    <w:rsid w:val="0069114D"/>
    <w:rsid w:val="006B3E7A"/>
    <w:rsid w:val="006C558C"/>
    <w:rsid w:val="006D134B"/>
    <w:rsid w:val="006E7364"/>
    <w:rsid w:val="006F6BE2"/>
    <w:rsid w:val="007125C7"/>
    <w:rsid w:val="00714069"/>
    <w:rsid w:val="007327C2"/>
    <w:rsid w:val="00745467"/>
    <w:rsid w:val="00752E64"/>
    <w:rsid w:val="00755E68"/>
    <w:rsid w:val="00780BE3"/>
    <w:rsid w:val="007A012E"/>
    <w:rsid w:val="007F0DF7"/>
    <w:rsid w:val="008236CE"/>
    <w:rsid w:val="00827CD8"/>
    <w:rsid w:val="00855D8E"/>
    <w:rsid w:val="008667B5"/>
    <w:rsid w:val="00882CB0"/>
    <w:rsid w:val="00890311"/>
    <w:rsid w:val="008A5976"/>
    <w:rsid w:val="00907EA6"/>
    <w:rsid w:val="00915086"/>
    <w:rsid w:val="00915A45"/>
    <w:rsid w:val="00937E70"/>
    <w:rsid w:val="0096086A"/>
    <w:rsid w:val="009650E1"/>
    <w:rsid w:val="009960AC"/>
    <w:rsid w:val="009B47AF"/>
    <w:rsid w:val="009B6967"/>
    <w:rsid w:val="009C2109"/>
    <w:rsid w:val="009D39B2"/>
    <w:rsid w:val="009E0326"/>
    <w:rsid w:val="009E4948"/>
    <w:rsid w:val="009E672D"/>
    <w:rsid w:val="00A02205"/>
    <w:rsid w:val="00A0491C"/>
    <w:rsid w:val="00A23134"/>
    <w:rsid w:val="00A42D5A"/>
    <w:rsid w:val="00A43AF2"/>
    <w:rsid w:val="00A6748C"/>
    <w:rsid w:val="00A96750"/>
    <w:rsid w:val="00AB4A65"/>
    <w:rsid w:val="00AE60F2"/>
    <w:rsid w:val="00AF017B"/>
    <w:rsid w:val="00AF058A"/>
    <w:rsid w:val="00AF08F6"/>
    <w:rsid w:val="00B01664"/>
    <w:rsid w:val="00B06E0E"/>
    <w:rsid w:val="00B454AA"/>
    <w:rsid w:val="00B46C58"/>
    <w:rsid w:val="00B73A77"/>
    <w:rsid w:val="00B91CE7"/>
    <w:rsid w:val="00B966EE"/>
    <w:rsid w:val="00BF2EEC"/>
    <w:rsid w:val="00C221D5"/>
    <w:rsid w:val="00C4087E"/>
    <w:rsid w:val="00C71DF8"/>
    <w:rsid w:val="00C87C0A"/>
    <w:rsid w:val="00C953A4"/>
    <w:rsid w:val="00CB5B1C"/>
    <w:rsid w:val="00CC3792"/>
    <w:rsid w:val="00CD740D"/>
    <w:rsid w:val="00CD7C03"/>
    <w:rsid w:val="00CE40A6"/>
    <w:rsid w:val="00CF54D8"/>
    <w:rsid w:val="00CF5603"/>
    <w:rsid w:val="00D457D9"/>
    <w:rsid w:val="00D47794"/>
    <w:rsid w:val="00D658AB"/>
    <w:rsid w:val="00D81A91"/>
    <w:rsid w:val="00D93290"/>
    <w:rsid w:val="00DC4962"/>
    <w:rsid w:val="00DD3CB9"/>
    <w:rsid w:val="00DD716C"/>
    <w:rsid w:val="00DD7A82"/>
    <w:rsid w:val="00DF0FD3"/>
    <w:rsid w:val="00DF1396"/>
    <w:rsid w:val="00DF4D2E"/>
    <w:rsid w:val="00DF6067"/>
    <w:rsid w:val="00E06FAB"/>
    <w:rsid w:val="00E110DC"/>
    <w:rsid w:val="00E202EE"/>
    <w:rsid w:val="00E3308E"/>
    <w:rsid w:val="00E367DA"/>
    <w:rsid w:val="00E5328D"/>
    <w:rsid w:val="00E72921"/>
    <w:rsid w:val="00E809DE"/>
    <w:rsid w:val="00E97122"/>
    <w:rsid w:val="00EA7541"/>
    <w:rsid w:val="00EC2943"/>
    <w:rsid w:val="00EF0E72"/>
    <w:rsid w:val="00EF44F6"/>
    <w:rsid w:val="00F05475"/>
    <w:rsid w:val="00F1011D"/>
    <w:rsid w:val="00F32225"/>
    <w:rsid w:val="00F659E8"/>
    <w:rsid w:val="00F713FE"/>
    <w:rsid w:val="00F8760A"/>
    <w:rsid w:val="00FA572A"/>
    <w:rsid w:val="00FD2041"/>
    <w:rsid w:val="00FD40D1"/>
    <w:rsid w:val="00FF6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F4B27"/>
  <w15:chartTrackingRefBased/>
  <w15:docId w15:val="{102817C8-5224-441E-BEAC-2080B76BB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690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8A5976"/>
    <w:rPr>
      <w:sz w:val="16"/>
      <w:szCs w:val="16"/>
    </w:rPr>
  </w:style>
  <w:style w:type="paragraph" w:styleId="CommentText">
    <w:name w:val="annotation text"/>
    <w:basedOn w:val="Normal"/>
    <w:link w:val="CommentTextChar"/>
    <w:uiPriority w:val="99"/>
    <w:semiHidden/>
    <w:unhideWhenUsed/>
    <w:rsid w:val="008A5976"/>
    <w:pPr>
      <w:spacing w:line="240" w:lineRule="auto"/>
    </w:pPr>
    <w:rPr>
      <w:sz w:val="20"/>
      <w:szCs w:val="20"/>
    </w:rPr>
  </w:style>
  <w:style w:type="character" w:customStyle="1" w:styleId="CommentTextChar">
    <w:name w:val="Comment Text Char"/>
    <w:basedOn w:val="DefaultParagraphFont"/>
    <w:link w:val="CommentText"/>
    <w:uiPriority w:val="99"/>
    <w:semiHidden/>
    <w:rsid w:val="008A5976"/>
    <w:rPr>
      <w:sz w:val="20"/>
      <w:szCs w:val="20"/>
    </w:rPr>
  </w:style>
  <w:style w:type="paragraph" w:styleId="CommentSubject">
    <w:name w:val="annotation subject"/>
    <w:basedOn w:val="CommentText"/>
    <w:next w:val="CommentText"/>
    <w:link w:val="CommentSubjectChar"/>
    <w:uiPriority w:val="99"/>
    <w:semiHidden/>
    <w:unhideWhenUsed/>
    <w:rsid w:val="008A5976"/>
    <w:rPr>
      <w:b/>
      <w:bCs/>
    </w:rPr>
  </w:style>
  <w:style w:type="character" w:customStyle="1" w:styleId="CommentSubjectChar">
    <w:name w:val="Comment Subject Char"/>
    <w:basedOn w:val="CommentTextChar"/>
    <w:link w:val="CommentSubject"/>
    <w:uiPriority w:val="99"/>
    <w:semiHidden/>
    <w:rsid w:val="008A5976"/>
    <w:rPr>
      <w:b/>
      <w:bCs/>
      <w:sz w:val="20"/>
      <w:szCs w:val="20"/>
    </w:rPr>
  </w:style>
  <w:style w:type="paragraph" w:styleId="BalloonText">
    <w:name w:val="Balloon Text"/>
    <w:basedOn w:val="Normal"/>
    <w:link w:val="BalloonTextChar"/>
    <w:uiPriority w:val="99"/>
    <w:semiHidden/>
    <w:unhideWhenUsed/>
    <w:rsid w:val="008A59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976"/>
    <w:rPr>
      <w:rFonts w:ascii="Segoe UI" w:hAnsi="Segoe UI" w:cs="Segoe UI"/>
      <w:sz w:val="18"/>
      <w:szCs w:val="18"/>
    </w:rPr>
  </w:style>
  <w:style w:type="paragraph" w:styleId="ListParagraph">
    <w:name w:val="List Paragraph"/>
    <w:basedOn w:val="Normal"/>
    <w:uiPriority w:val="34"/>
    <w:qFormat/>
    <w:rsid w:val="00045290"/>
    <w:pPr>
      <w:ind w:left="720"/>
      <w:contextualSpacing/>
    </w:pPr>
  </w:style>
  <w:style w:type="character" w:styleId="Hyperlink">
    <w:name w:val="Hyperlink"/>
    <w:basedOn w:val="DefaultParagraphFont"/>
    <w:uiPriority w:val="99"/>
    <w:unhideWhenUsed/>
    <w:rsid w:val="00BF2EEC"/>
    <w:rPr>
      <w:color w:val="0563C1" w:themeColor="hyperlink"/>
      <w:u w:val="single"/>
    </w:rPr>
  </w:style>
  <w:style w:type="character" w:customStyle="1" w:styleId="UnresolvedMention1">
    <w:name w:val="Unresolved Mention1"/>
    <w:basedOn w:val="DefaultParagraphFont"/>
    <w:uiPriority w:val="99"/>
    <w:semiHidden/>
    <w:unhideWhenUsed/>
    <w:rsid w:val="00BF2EEC"/>
    <w:rPr>
      <w:color w:val="808080"/>
      <w:shd w:val="clear" w:color="auto" w:fill="E6E6E6"/>
    </w:rPr>
  </w:style>
  <w:style w:type="paragraph" w:styleId="Header">
    <w:name w:val="header"/>
    <w:basedOn w:val="Normal"/>
    <w:link w:val="HeaderChar"/>
    <w:uiPriority w:val="99"/>
    <w:unhideWhenUsed/>
    <w:rsid w:val="00DF4D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D2E"/>
  </w:style>
  <w:style w:type="paragraph" w:styleId="Footer">
    <w:name w:val="footer"/>
    <w:basedOn w:val="Normal"/>
    <w:link w:val="FooterChar"/>
    <w:uiPriority w:val="99"/>
    <w:unhideWhenUsed/>
    <w:rsid w:val="00DF4D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D2E"/>
  </w:style>
  <w:style w:type="character" w:styleId="FollowedHyperlink">
    <w:name w:val="FollowedHyperlink"/>
    <w:basedOn w:val="DefaultParagraphFont"/>
    <w:uiPriority w:val="99"/>
    <w:semiHidden/>
    <w:unhideWhenUsed/>
    <w:rsid w:val="00024D90"/>
    <w:rPr>
      <w:color w:val="954F72" w:themeColor="followedHyperlink"/>
      <w:u w:val="single"/>
    </w:rPr>
  </w:style>
  <w:style w:type="paragraph" w:styleId="FootnoteText">
    <w:name w:val="footnote text"/>
    <w:basedOn w:val="Normal"/>
    <w:link w:val="FootnoteTextChar"/>
    <w:uiPriority w:val="99"/>
    <w:unhideWhenUsed/>
    <w:rsid w:val="00256166"/>
    <w:pPr>
      <w:spacing w:after="0" w:line="240" w:lineRule="auto"/>
    </w:pPr>
    <w:rPr>
      <w:sz w:val="20"/>
      <w:szCs w:val="20"/>
    </w:rPr>
  </w:style>
  <w:style w:type="character" w:customStyle="1" w:styleId="FootnoteTextChar">
    <w:name w:val="Footnote Text Char"/>
    <w:basedOn w:val="DefaultParagraphFont"/>
    <w:link w:val="FootnoteText"/>
    <w:uiPriority w:val="99"/>
    <w:rsid w:val="00256166"/>
    <w:rPr>
      <w:sz w:val="20"/>
      <w:szCs w:val="20"/>
    </w:rPr>
  </w:style>
  <w:style w:type="character" w:styleId="FootnoteReference">
    <w:name w:val="footnote reference"/>
    <w:basedOn w:val="DefaultParagraphFont"/>
    <w:uiPriority w:val="99"/>
    <w:unhideWhenUsed/>
    <w:rsid w:val="00256166"/>
    <w:rPr>
      <w:vertAlign w:val="superscript"/>
    </w:rPr>
  </w:style>
  <w:style w:type="paragraph" w:styleId="NormalWeb">
    <w:name w:val="Normal (Web)"/>
    <w:basedOn w:val="Normal"/>
    <w:uiPriority w:val="99"/>
    <w:rsid w:val="0025616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luelight.pensions@local.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psregs.org/images/admin/Technotes/Technote4.0319.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si/2019/378/part/3/chapter/1/ma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legislation.gov.uk/ukpga/2013/30/contents/enacted/data.htm" TargetMode="External"/><Relationship Id="rId2" Type="http://schemas.openxmlformats.org/officeDocument/2006/relationships/hyperlink" Target="http://www.legislation.gov.uk/ukpga/2004/33/section/1" TargetMode="External"/><Relationship Id="rId1" Type="http://schemas.openxmlformats.org/officeDocument/2006/relationships/hyperlink" Target="https://www.supremecourt.uk/cases/uksc-2016-009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75DC1-A255-4563-A6D8-92DD21D31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E1849B48</Template>
  <TotalTime>8</TotalTime>
  <Pages>3</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Swane</dc:creator>
  <cp:keywords/>
  <dc:description/>
  <cp:lastModifiedBy>Claire Hey</cp:lastModifiedBy>
  <cp:revision>7</cp:revision>
  <dcterms:created xsi:type="dcterms:W3CDTF">2019-05-30T11:36:00Z</dcterms:created>
  <dcterms:modified xsi:type="dcterms:W3CDTF">2019-05-31T09:16:00Z</dcterms:modified>
</cp:coreProperties>
</file>