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CF" w:rsidRPr="006955ED" w:rsidRDefault="005B4568">
      <w:pPr>
        <w:pStyle w:val="BodyText"/>
        <w:rPr>
          <w:rFonts w:asciiTheme="minorHAnsi" w:hAnsiTheme="minorHAnsi"/>
          <w:b w:val="0"/>
          <w:sz w:val="20"/>
        </w:rPr>
      </w:pPr>
      <w:r>
        <w:rPr>
          <w:rFonts w:asciiTheme="minorHAnsi" w:hAnsiTheme="minorHAnsi"/>
          <w:b w:val="0"/>
          <w:noProof/>
          <w:sz w:val="20"/>
          <w:lang w:bidi="ar-SA"/>
        </w:rPr>
        <w:drawing>
          <wp:inline distT="0" distB="0" distL="0" distR="0" wp14:anchorId="10DFBEAE" wp14:editId="72A2E45C">
            <wp:extent cx="2889885" cy="8782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885" cy="878205"/>
                    </a:xfrm>
                    <a:prstGeom prst="rect">
                      <a:avLst/>
                    </a:prstGeom>
                    <a:noFill/>
                  </pic:spPr>
                </pic:pic>
              </a:graphicData>
            </a:graphic>
          </wp:inline>
        </w:drawing>
      </w:r>
      <w:r>
        <w:rPr>
          <w:rFonts w:asciiTheme="minorHAnsi" w:hAnsiTheme="minorHAnsi"/>
          <w:b w:val="0"/>
          <w:sz w:val="20"/>
        </w:rPr>
        <w:t xml:space="preserve">                                                                              </w:t>
      </w:r>
      <w:r>
        <w:rPr>
          <w:rFonts w:asciiTheme="minorHAnsi" w:hAnsiTheme="minorHAnsi"/>
          <w:b w:val="0"/>
          <w:noProof/>
          <w:sz w:val="20"/>
          <w:lang w:bidi="ar-SA"/>
        </w:rPr>
        <w:drawing>
          <wp:inline distT="0" distB="0" distL="0" distR="0" wp14:anchorId="59CEC110">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rsidR="005B4568" w:rsidRDefault="005B4568" w:rsidP="005B4568">
      <w:pPr>
        <w:rPr>
          <w:rFonts w:ascii="Impact" w:hAnsi="Impact" w:cs="Impact"/>
          <w:color w:val="34A161"/>
          <w:sz w:val="38"/>
          <w:szCs w:val="38"/>
        </w:rPr>
      </w:pPr>
      <w:r>
        <w:rPr>
          <w:noProof/>
          <w:lang w:bidi="ar-SA"/>
        </w:rPr>
        <w:drawing>
          <wp:inline distT="0" distB="0" distL="0" distR="0" wp14:anchorId="7D2EDC88" wp14:editId="09CF5987">
            <wp:extent cx="228600" cy="228600"/>
            <wp:effectExtent l="0" t="0" r="0" b="0"/>
            <wp:docPr id="3" name="Picture 3" descr="Firefighters Pension England_SAB_Green Bulle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fighters Pension England_SAB_Green Bullet Po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Impact" w:hAnsi="Impact" w:cs="Impact"/>
          <w:color w:val="36DE2B"/>
          <w:sz w:val="38"/>
          <w:szCs w:val="38"/>
        </w:rPr>
        <w:t xml:space="preserve"> </w:t>
      </w:r>
      <w:r w:rsidRPr="001E47C1">
        <w:rPr>
          <w:rFonts w:ascii="Impact" w:hAnsi="Impact" w:cs="Impact"/>
          <w:color w:val="34A161"/>
          <w:sz w:val="38"/>
          <w:szCs w:val="38"/>
        </w:rPr>
        <w:t>Information</w:t>
      </w:r>
    </w:p>
    <w:p w:rsidR="00E32218" w:rsidRPr="006955ED" w:rsidRDefault="00E32218">
      <w:pPr>
        <w:pStyle w:val="BodyText"/>
        <w:rPr>
          <w:rFonts w:asciiTheme="minorHAnsi" w:hAnsiTheme="minorHAnsi"/>
          <w:b w:val="0"/>
          <w:sz w:val="20"/>
        </w:rPr>
      </w:pPr>
    </w:p>
    <w:p w:rsidR="00B111CF" w:rsidRPr="005B4568" w:rsidRDefault="009D00AF" w:rsidP="005B4568">
      <w:pPr>
        <w:widowControl/>
        <w:autoSpaceDE/>
        <w:autoSpaceDN/>
        <w:spacing w:after="160" w:line="259" w:lineRule="auto"/>
        <w:jc w:val="center"/>
        <w:rPr>
          <w:rFonts w:ascii="Impact" w:eastAsiaTheme="minorHAnsi" w:hAnsi="Impact" w:cstheme="minorBidi"/>
          <w:color w:val="34A161"/>
          <w:sz w:val="48"/>
          <w:lang w:eastAsia="en-US" w:bidi="ar-SA"/>
        </w:rPr>
      </w:pPr>
      <w:r w:rsidRPr="005B4568">
        <w:rPr>
          <w:rFonts w:ascii="Impact" w:eastAsiaTheme="minorHAnsi" w:hAnsi="Impact" w:cstheme="minorBidi"/>
          <w:color w:val="34A161"/>
          <w:sz w:val="48"/>
          <w:lang w:eastAsia="en-US" w:bidi="ar-SA"/>
        </w:rPr>
        <w:t>The Firefighters’ Pension</w:t>
      </w:r>
      <w:r w:rsidR="005B4568">
        <w:rPr>
          <w:rFonts w:ascii="Impact" w:eastAsiaTheme="minorHAnsi" w:hAnsi="Impact" w:cstheme="minorBidi"/>
          <w:color w:val="34A161"/>
          <w:sz w:val="48"/>
          <w:lang w:eastAsia="en-US" w:bidi="ar-SA"/>
        </w:rPr>
        <w:t xml:space="preserve"> </w:t>
      </w:r>
      <w:r w:rsidRPr="005B4568">
        <w:rPr>
          <w:rFonts w:ascii="Impact" w:eastAsiaTheme="minorHAnsi" w:hAnsi="Impact" w:cstheme="minorBidi"/>
          <w:color w:val="34A161"/>
          <w:sz w:val="48"/>
          <w:lang w:eastAsia="en-US" w:bidi="ar-SA"/>
        </w:rPr>
        <w:t>Scheme 2015 (FPS2015)</w:t>
      </w:r>
    </w:p>
    <w:p w:rsidR="00B111CF" w:rsidRPr="005B4568" w:rsidRDefault="009D00AF" w:rsidP="00E32218">
      <w:pPr>
        <w:widowControl/>
        <w:autoSpaceDE/>
        <w:autoSpaceDN/>
        <w:spacing w:after="160" w:line="259" w:lineRule="auto"/>
        <w:rPr>
          <w:rFonts w:ascii="Arial" w:eastAsiaTheme="minorHAnsi" w:hAnsi="Arial" w:cs="Arial"/>
          <w:color w:val="34A161"/>
          <w:lang w:eastAsia="en-US" w:bidi="ar-SA"/>
        </w:rPr>
      </w:pPr>
      <w:r w:rsidRPr="005B4568">
        <w:rPr>
          <w:rFonts w:ascii="Arial" w:eastAsiaTheme="minorHAnsi" w:hAnsi="Arial" w:cs="Arial"/>
          <w:color w:val="34A161"/>
          <w:lang w:eastAsia="en-US" w:bidi="ar-SA"/>
        </w:rPr>
        <w:t>A defined-benefit career-average revalued earnings (CARE) occupational pension scheme registered under the Finance Act 2004</w:t>
      </w:r>
    </w:p>
    <w:p w:rsidR="00B111CF" w:rsidRPr="00E32218" w:rsidRDefault="009D00AF" w:rsidP="00E32218">
      <w:pPr>
        <w:widowControl/>
        <w:autoSpaceDE/>
        <w:autoSpaceDN/>
        <w:spacing w:after="160" w:line="259" w:lineRule="auto"/>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Why have I been enrolled in FPS2015?</w:t>
      </w:r>
    </w:p>
    <w:p w:rsidR="00B111CF" w:rsidRDefault="009D00AF">
      <w:pPr>
        <w:spacing w:before="146"/>
        <w:ind w:left="230" w:right="347"/>
        <w:rPr>
          <w:rFonts w:ascii="Arial" w:hAnsi="Arial" w:cs="Arial"/>
          <w:color w:val="231F20"/>
        </w:rPr>
      </w:pPr>
      <w:r w:rsidRPr="00E32218">
        <w:rPr>
          <w:rFonts w:ascii="Arial" w:hAnsi="Arial" w:cs="Arial"/>
          <w:color w:val="231F20"/>
          <w:spacing w:val="-5"/>
        </w:rPr>
        <w:t xml:space="preserve">Your </w:t>
      </w:r>
      <w:r w:rsidRPr="00E32218">
        <w:rPr>
          <w:rFonts w:ascii="Arial" w:hAnsi="Arial" w:cs="Arial"/>
          <w:color w:val="231F20"/>
        </w:rPr>
        <w:t>employer has to enrol you in FPS2015 when you take up a new contract as a firefighter, or after three years if you previously opted out.</w:t>
      </w:r>
      <w:r w:rsidR="006955ED" w:rsidRPr="00E32218">
        <w:rPr>
          <w:rFonts w:ascii="Arial" w:hAnsi="Arial" w:cs="Arial"/>
          <w:color w:val="231F20"/>
        </w:rPr>
        <w:t>*</w:t>
      </w:r>
    </w:p>
    <w:p w:rsidR="00E32218" w:rsidRPr="00E32218" w:rsidRDefault="00E32218">
      <w:pPr>
        <w:spacing w:before="146"/>
        <w:ind w:left="230" w:right="347"/>
        <w:rPr>
          <w:rFonts w:ascii="Arial" w:hAnsi="Arial" w:cs="Arial"/>
        </w:rPr>
      </w:pPr>
    </w:p>
    <w:p w:rsidR="00B111CF" w:rsidRPr="00E32218" w:rsidRDefault="009D00AF" w:rsidP="00E32218">
      <w:pPr>
        <w:widowControl/>
        <w:autoSpaceDE/>
        <w:autoSpaceDN/>
        <w:spacing w:after="160" w:line="259" w:lineRule="auto"/>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How much do I pay?</w:t>
      </w:r>
    </w:p>
    <w:p w:rsidR="00B111CF" w:rsidRPr="00E32218" w:rsidRDefault="009D00AF">
      <w:pPr>
        <w:spacing w:before="33"/>
        <w:ind w:left="230"/>
        <w:rPr>
          <w:rFonts w:ascii="Arial" w:hAnsi="Arial" w:cs="Arial"/>
        </w:rPr>
      </w:pPr>
      <w:r w:rsidRPr="00E32218">
        <w:rPr>
          <w:rFonts w:ascii="Arial" w:hAnsi="Arial" w:cs="Arial"/>
          <w:color w:val="231F20"/>
        </w:rPr>
        <w:t>Contributions vary from 10% to 14.5% of your pay depending on your rate of pay.</w:t>
      </w:r>
    </w:p>
    <w:p w:rsidR="00B111CF" w:rsidRPr="00E32218" w:rsidRDefault="00B111CF">
      <w:pPr>
        <w:spacing w:before="3"/>
        <w:rPr>
          <w:rFonts w:ascii="Arial" w:hAnsi="Arial" w:cs="Arial"/>
          <w:sz w:val="16"/>
        </w:rPr>
      </w:pPr>
    </w:p>
    <w:tbl>
      <w:tblPr>
        <w:tblW w:w="0" w:type="auto"/>
        <w:tblInd w:w="230" w:type="dxa"/>
        <w:tblBorders>
          <w:top w:val="single" w:sz="8" w:space="0" w:color="auto"/>
          <w:bottom w:val="single" w:sz="8" w:space="0" w:color="auto"/>
          <w:insideH w:val="single" w:sz="8" w:space="0" w:color="auto"/>
        </w:tblBorders>
        <w:tblLayout w:type="fixed"/>
        <w:tblCellMar>
          <w:left w:w="0" w:type="dxa"/>
          <w:right w:w="0" w:type="dxa"/>
        </w:tblCellMar>
        <w:tblLook w:val="01E0" w:firstRow="1" w:lastRow="1" w:firstColumn="1" w:lastColumn="1" w:noHBand="0" w:noVBand="0"/>
      </w:tblPr>
      <w:tblGrid>
        <w:gridCol w:w="4059"/>
        <w:gridCol w:w="3040"/>
        <w:gridCol w:w="3368"/>
      </w:tblGrid>
      <w:tr w:rsidR="004108B2" w:rsidRPr="004108B2" w:rsidTr="004108B2">
        <w:trPr>
          <w:trHeight w:val="596"/>
        </w:trPr>
        <w:tc>
          <w:tcPr>
            <w:tcW w:w="4059" w:type="dxa"/>
          </w:tcPr>
          <w:p w:rsidR="00B111CF" w:rsidRPr="004108B2" w:rsidRDefault="009D00AF">
            <w:pPr>
              <w:pStyle w:val="TableParagraph"/>
              <w:spacing w:before="59"/>
              <w:ind w:left="113"/>
              <w:rPr>
                <w:rFonts w:ascii="Arial" w:hAnsi="Arial" w:cs="Arial"/>
                <w:b/>
              </w:rPr>
            </w:pPr>
            <w:r w:rsidRPr="004108B2">
              <w:rPr>
                <w:rFonts w:ascii="Arial" w:hAnsi="Arial" w:cs="Arial"/>
                <w:b/>
              </w:rPr>
              <w:t>Annualised rate of pensionable earnings</w:t>
            </w:r>
          </w:p>
        </w:tc>
        <w:tc>
          <w:tcPr>
            <w:tcW w:w="3040" w:type="dxa"/>
          </w:tcPr>
          <w:p w:rsidR="00B111CF" w:rsidRPr="004108B2" w:rsidRDefault="002D783E" w:rsidP="002D783E">
            <w:pPr>
              <w:pStyle w:val="TableParagraph"/>
              <w:spacing w:before="63" w:line="235" w:lineRule="auto"/>
              <w:ind w:left="247" w:right="700"/>
              <w:jc w:val="center"/>
              <w:rPr>
                <w:rFonts w:ascii="Arial" w:hAnsi="Arial" w:cs="Arial"/>
                <w:b/>
              </w:rPr>
            </w:pPr>
            <w:r w:rsidRPr="004108B2">
              <w:rPr>
                <w:rFonts w:ascii="Arial" w:hAnsi="Arial" w:cs="Arial"/>
                <w:b/>
              </w:rPr>
              <w:t>Member contribution rates 2018/19</w:t>
            </w:r>
          </w:p>
        </w:tc>
        <w:tc>
          <w:tcPr>
            <w:tcW w:w="3368" w:type="dxa"/>
          </w:tcPr>
          <w:p w:rsidR="00B111CF" w:rsidRPr="004108B2" w:rsidRDefault="009D00AF" w:rsidP="002D783E">
            <w:pPr>
              <w:pStyle w:val="TableParagraph"/>
              <w:spacing w:before="63" w:line="235" w:lineRule="auto"/>
              <w:ind w:left="1048" w:right="281" w:hanging="330"/>
              <w:rPr>
                <w:rFonts w:ascii="Arial" w:hAnsi="Arial" w:cs="Arial"/>
                <w:b/>
              </w:rPr>
            </w:pPr>
            <w:r w:rsidRPr="004108B2">
              <w:rPr>
                <w:rFonts w:ascii="Arial" w:hAnsi="Arial" w:cs="Arial"/>
                <w:b/>
              </w:rPr>
              <w:t>Employer contribution rates 201</w:t>
            </w:r>
            <w:r w:rsidR="002D783E" w:rsidRPr="004108B2">
              <w:rPr>
                <w:rFonts w:ascii="Arial" w:hAnsi="Arial" w:cs="Arial"/>
                <w:b/>
              </w:rPr>
              <w:t>8</w:t>
            </w:r>
            <w:r w:rsidRPr="004108B2">
              <w:rPr>
                <w:rFonts w:ascii="Arial" w:hAnsi="Arial" w:cs="Arial"/>
                <w:b/>
              </w:rPr>
              <w:t>/201</w:t>
            </w:r>
            <w:r w:rsidR="002D783E" w:rsidRPr="004108B2">
              <w:rPr>
                <w:rFonts w:ascii="Arial" w:hAnsi="Arial" w:cs="Arial"/>
                <w:b/>
              </w:rPr>
              <w:t>9</w:t>
            </w:r>
          </w:p>
        </w:tc>
      </w:tr>
      <w:tr w:rsidR="004108B2" w:rsidRPr="004108B2" w:rsidTr="004108B2">
        <w:trPr>
          <w:trHeight w:val="361"/>
        </w:trPr>
        <w:tc>
          <w:tcPr>
            <w:tcW w:w="4059" w:type="dxa"/>
          </w:tcPr>
          <w:p w:rsidR="00B111CF" w:rsidRPr="004108B2" w:rsidRDefault="00C556EE">
            <w:pPr>
              <w:pStyle w:val="TableParagraph"/>
              <w:spacing w:before="59"/>
              <w:ind w:left="113"/>
              <w:rPr>
                <w:rFonts w:ascii="Arial" w:hAnsi="Arial" w:cs="Arial"/>
                <w:b/>
              </w:rPr>
            </w:pPr>
            <w:r w:rsidRPr="004108B2">
              <w:rPr>
                <w:rFonts w:ascii="Arial" w:hAnsi="Arial" w:cs="Arial"/>
                <w:b/>
              </w:rPr>
              <w:t>Up to £27,818</w:t>
            </w:r>
          </w:p>
        </w:tc>
        <w:tc>
          <w:tcPr>
            <w:tcW w:w="3040" w:type="dxa"/>
          </w:tcPr>
          <w:p w:rsidR="00B111CF" w:rsidRPr="004108B2" w:rsidRDefault="009D00AF" w:rsidP="00C556EE">
            <w:pPr>
              <w:pStyle w:val="TableParagraph"/>
              <w:spacing w:before="63"/>
              <w:ind w:left="1145"/>
              <w:rPr>
                <w:rFonts w:ascii="Arial" w:hAnsi="Arial" w:cs="Arial"/>
              </w:rPr>
            </w:pPr>
            <w:r w:rsidRPr="004108B2">
              <w:rPr>
                <w:rFonts w:ascii="Arial" w:hAnsi="Arial" w:cs="Arial"/>
              </w:rPr>
              <w:t>1</w:t>
            </w:r>
            <w:r w:rsidR="00C556EE" w:rsidRPr="004108B2">
              <w:rPr>
                <w:rFonts w:ascii="Arial" w:hAnsi="Arial" w:cs="Arial"/>
              </w:rPr>
              <w:t>1</w:t>
            </w:r>
            <w:r w:rsidRPr="004108B2">
              <w:rPr>
                <w:rFonts w:ascii="Arial" w:hAnsi="Arial" w:cs="Arial"/>
              </w:rPr>
              <w:t>.0%</w:t>
            </w:r>
          </w:p>
        </w:tc>
        <w:tc>
          <w:tcPr>
            <w:tcW w:w="3368" w:type="dxa"/>
          </w:tcPr>
          <w:p w:rsidR="00B111CF" w:rsidRPr="004108B2" w:rsidRDefault="009D00AF">
            <w:pPr>
              <w:pStyle w:val="TableParagraph"/>
              <w:spacing w:before="63"/>
              <w:ind w:left="0" w:right="1439"/>
              <w:jc w:val="right"/>
              <w:rPr>
                <w:rFonts w:ascii="Arial" w:hAnsi="Arial" w:cs="Arial"/>
              </w:rPr>
            </w:pPr>
            <w:r w:rsidRPr="004108B2">
              <w:rPr>
                <w:rFonts w:ascii="Arial" w:hAnsi="Arial" w:cs="Arial"/>
                <w:w w:val="90"/>
              </w:rPr>
              <w:t>14.3%</w:t>
            </w:r>
          </w:p>
        </w:tc>
      </w:tr>
      <w:tr w:rsidR="004108B2" w:rsidRPr="004108B2" w:rsidTr="004108B2">
        <w:trPr>
          <w:trHeight w:val="366"/>
        </w:trPr>
        <w:tc>
          <w:tcPr>
            <w:tcW w:w="4059" w:type="dxa"/>
          </w:tcPr>
          <w:p w:rsidR="00B111CF" w:rsidRPr="004108B2" w:rsidRDefault="009D00AF" w:rsidP="00C556EE">
            <w:pPr>
              <w:pStyle w:val="TableParagraph"/>
              <w:spacing w:before="64"/>
              <w:ind w:left="113"/>
              <w:rPr>
                <w:rFonts w:ascii="Arial" w:hAnsi="Arial" w:cs="Arial"/>
                <w:b/>
              </w:rPr>
            </w:pPr>
            <w:r w:rsidRPr="004108B2">
              <w:rPr>
                <w:rFonts w:ascii="Arial" w:hAnsi="Arial" w:cs="Arial"/>
                <w:b/>
              </w:rPr>
              <w:t>£27,</w:t>
            </w:r>
            <w:r w:rsidR="00C556EE" w:rsidRPr="004108B2">
              <w:rPr>
                <w:rFonts w:ascii="Arial" w:hAnsi="Arial" w:cs="Arial"/>
                <w:b/>
              </w:rPr>
              <w:t>819</w:t>
            </w:r>
            <w:r w:rsidRPr="004108B2">
              <w:rPr>
                <w:rFonts w:ascii="Arial" w:hAnsi="Arial" w:cs="Arial"/>
                <w:b/>
              </w:rPr>
              <w:t xml:space="preserve"> to £5</w:t>
            </w:r>
            <w:r w:rsidR="00C556EE" w:rsidRPr="004108B2">
              <w:rPr>
                <w:rFonts w:ascii="Arial" w:hAnsi="Arial" w:cs="Arial"/>
                <w:b/>
              </w:rPr>
              <w:t>1</w:t>
            </w:r>
            <w:r w:rsidRPr="004108B2">
              <w:rPr>
                <w:rFonts w:ascii="Arial" w:hAnsi="Arial" w:cs="Arial"/>
                <w:b/>
              </w:rPr>
              <w:t>,5</w:t>
            </w:r>
            <w:r w:rsidR="00C556EE" w:rsidRPr="004108B2">
              <w:rPr>
                <w:rFonts w:ascii="Arial" w:hAnsi="Arial" w:cs="Arial"/>
                <w:b/>
              </w:rPr>
              <w:t>15</w:t>
            </w:r>
          </w:p>
        </w:tc>
        <w:tc>
          <w:tcPr>
            <w:tcW w:w="3040" w:type="dxa"/>
          </w:tcPr>
          <w:p w:rsidR="00B111CF" w:rsidRPr="004108B2" w:rsidRDefault="009D00AF" w:rsidP="00C556EE">
            <w:pPr>
              <w:pStyle w:val="TableParagraph"/>
              <w:ind w:left="1161"/>
              <w:rPr>
                <w:rFonts w:ascii="Arial" w:hAnsi="Arial" w:cs="Arial"/>
              </w:rPr>
            </w:pPr>
            <w:r w:rsidRPr="004108B2">
              <w:rPr>
                <w:rFonts w:ascii="Arial" w:hAnsi="Arial" w:cs="Arial"/>
              </w:rPr>
              <w:t>12.</w:t>
            </w:r>
            <w:r w:rsidR="00C556EE" w:rsidRPr="004108B2">
              <w:rPr>
                <w:rFonts w:ascii="Arial" w:hAnsi="Arial" w:cs="Arial"/>
              </w:rPr>
              <w:t>9</w:t>
            </w:r>
            <w:r w:rsidRPr="004108B2">
              <w:rPr>
                <w:rFonts w:ascii="Arial" w:hAnsi="Arial" w:cs="Arial"/>
              </w:rPr>
              <w:t>%</w:t>
            </w:r>
          </w:p>
        </w:tc>
        <w:tc>
          <w:tcPr>
            <w:tcW w:w="3368" w:type="dxa"/>
          </w:tcPr>
          <w:p w:rsidR="00B111CF" w:rsidRPr="004108B2" w:rsidRDefault="009D00AF">
            <w:pPr>
              <w:pStyle w:val="TableParagraph"/>
              <w:ind w:left="0" w:right="1439"/>
              <w:jc w:val="right"/>
              <w:rPr>
                <w:rFonts w:ascii="Arial" w:hAnsi="Arial" w:cs="Arial"/>
              </w:rPr>
            </w:pPr>
            <w:r w:rsidRPr="004108B2">
              <w:rPr>
                <w:rFonts w:ascii="Arial" w:hAnsi="Arial" w:cs="Arial"/>
                <w:w w:val="90"/>
              </w:rPr>
              <w:t>14.3%</w:t>
            </w:r>
          </w:p>
        </w:tc>
      </w:tr>
      <w:tr w:rsidR="004108B2" w:rsidRPr="004108B2" w:rsidTr="004108B2">
        <w:trPr>
          <w:trHeight w:val="366"/>
        </w:trPr>
        <w:tc>
          <w:tcPr>
            <w:tcW w:w="4059" w:type="dxa"/>
          </w:tcPr>
          <w:p w:rsidR="00B111CF" w:rsidRPr="004108B2" w:rsidRDefault="009D00AF" w:rsidP="00C556EE">
            <w:pPr>
              <w:pStyle w:val="TableParagraph"/>
              <w:spacing w:before="64"/>
              <w:ind w:left="113"/>
              <w:rPr>
                <w:rFonts w:ascii="Arial" w:hAnsi="Arial" w:cs="Arial"/>
                <w:b/>
              </w:rPr>
            </w:pPr>
            <w:r w:rsidRPr="004108B2">
              <w:rPr>
                <w:rFonts w:ascii="Arial" w:hAnsi="Arial" w:cs="Arial"/>
                <w:b/>
              </w:rPr>
              <w:t>£5</w:t>
            </w:r>
            <w:r w:rsidR="00C556EE" w:rsidRPr="004108B2">
              <w:rPr>
                <w:rFonts w:ascii="Arial" w:hAnsi="Arial" w:cs="Arial"/>
                <w:b/>
              </w:rPr>
              <w:t>1</w:t>
            </w:r>
            <w:r w:rsidRPr="004108B2">
              <w:rPr>
                <w:rFonts w:ascii="Arial" w:hAnsi="Arial" w:cs="Arial"/>
                <w:b/>
              </w:rPr>
              <w:t>,5</w:t>
            </w:r>
            <w:r w:rsidR="00C556EE" w:rsidRPr="004108B2">
              <w:rPr>
                <w:rFonts w:ascii="Arial" w:hAnsi="Arial" w:cs="Arial"/>
                <w:b/>
              </w:rPr>
              <w:t>16</w:t>
            </w:r>
            <w:r w:rsidRPr="004108B2">
              <w:rPr>
                <w:rFonts w:ascii="Arial" w:hAnsi="Arial" w:cs="Arial"/>
                <w:b/>
              </w:rPr>
              <w:t xml:space="preserve"> to £142,500</w:t>
            </w:r>
          </w:p>
        </w:tc>
        <w:tc>
          <w:tcPr>
            <w:tcW w:w="3040" w:type="dxa"/>
          </w:tcPr>
          <w:p w:rsidR="00B111CF" w:rsidRPr="004108B2" w:rsidRDefault="009D00AF">
            <w:pPr>
              <w:pStyle w:val="TableParagraph"/>
              <w:ind w:left="1164"/>
              <w:rPr>
                <w:rFonts w:ascii="Arial" w:hAnsi="Arial" w:cs="Arial"/>
              </w:rPr>
            </w:pPr>
            <w:r w:rsidRPr="004108B2">
              <w:rPr>
                <w:rFonts w:ascii="Arial" w:hAnsi="Arial" w:cs="Arial"/>
              </w:rPr>
              <w:t>13.5%</w:t>
            </w:r>
          </w:p>
        </w:tc>
        <w:tc>
          <w:tcPr>
            <w:tcW w:w="3368" w:type="dxa"/>
          </w:tcPr>
          <w:p w:rsidR="00B111CF" w:rsidRPr="004108B2" w:rsidRDefault="009D00AF">
            <w:pPr>
              <w:pStyle w:val="TableParagraph"/>
              <w:ind w:left="0" w:right="1439"/>
              <w:jc w:val="right"/>
              <w:rPr>
                <w:rFonts w:ascii="Arial" w:hAnsi="Arial" w:cs="Arial"/>
              </w:rPr>
            </w:pPr>
            <w:r w:rsidRPr="004108B2">
              <w:rPr>
                <w:rFonts w:ascii="Arial" w:hAnsi="Arial" w:cs="Arial"/>
                <w:w w:val="90"/>
              </w:rPr>
              <w:t>14.3%</w:t>
            </w:r>
          </w:p>
        </w:tc>
      </w:tr>
      <w:tr w:rsidR="004108B2" w:rsidRPr="004108B2" w:rsidTr="004108B2">
        <w:trPr>
          <w:trHeight w:val="366"/>
        </w:trPr>
        <w:tc>
          <w:tcPr>
            <w:tcW w:w="4059" w:type="dxa"/>
          </w:tcPr>
          <w:p w:rsidR="00B111CF" w:rsidRPr="004108B2" w:rsidRDefault="009D00AF">
            <w:pPr>
              <w:pStyle w:val="TableParagraph"/>
              <w:spacing w:before="64"/>
              <w:ind w:left="154"/>
              <w:rPr>
                <w:rFonts w:ascii="Arial" w:hAnsi="Arial" w:cs="Arial"/>
                <w:b/>
              </w:rPr>
            </w:pPr>
            <w:r w:rsidRPr="004108B2">
              <w:rPr>
                <w:rFonts w:ascii="Arial" w:hAnsi="Arial" w:cs="Arial"/>
                <w:b/>
              </w:rPr>
              <w:t>£142,501 or more</w:t>
            </w:r>
          </w:p>
        </w:tc>
        <w:tc>
          <w:tcPr>
            <w:tcW w:w="3040" w:type="dxa"/>
          </w:tcPr>
          <w:p w:rsidR="00B111CF" w:rsidRPr="004108B2" w:rsidRDefault="009D00AF">
            <w:pPr>
              <w:pStyle w:val="TableParagraph"/>
              <w:ind w:left="1178"/>
              <w:rPr>
                <w:rFonts w:ascii="Arial" w:hAnsi="Arial" w:cs="Arial"/>
              </w:rPr>
            </w:pPr>
            <w:r w:rsidRPr="004108B2">
              <w:rPr>
                <w:rFonts w:ascii="Arial" w:hAnsi="Arial" w:cs="Arial"/>
              </w:rPr>
              <w:t>14.5%</w:t>
            </w:r>
          </w:p>
        </w:tc>
        <w:tc>
          <w:tcPr>
            <w:tcW w:w="3368" w:type="dxa"/>
          </w:tcPr>
          <w:p w:rsidR="00B111CF" w:rsidRPr="004108B2" w:rsidRDefault="009D00AF">
            <w:pPr>
              <w:pStyle w:val="TableParagraph"/>
              <w:ind w:left="0" w:right="1439"/>
              <w:jc w:val="right"/>
              <w:rPr>
                <w:rFonts w:ascii="Arial" w:hAnsi="Arial" w:cs="Arial"/>
              </w:rPr>
            </w:pPr>
            <w:r w:rsidRPr="004108B2">
              <w:rPr>
                <w:rFonts w:ascii="Arial" w:hAnsi="Arial" w:cs="Arial"/>
                <w:w w:val="90"/>
              </w:rPr>
              <w:t>14.3%</w:t>
            </w:r>
          </w:p>
        </w:tc>
      </w:tr>
    </w:tbl>
    <w:p w:rsidR="00B111CF" w:rsidRPr="006955ED" w:rsidRDefault="00B111CF">
      <w:pPr>
        <w:spacing w:before="4"/>
        <w:rPr>
          <w:rFonts w:asciiTheme="minorHAnsi" w:hAnsiTheme="minorHAnsi"/>
          <w:sz w:val="27"/>
        </w:rPr>
      </w:pPr>
    </w:p>
    <w:p w:rsidR="00B111CF" w:rsidRPr="00E32218" w:rsidRDefault="009D00AF" w:rsidP="00E32218">
      <w:pPr>
        <w:widowControl/>
        <w:autoSpaceDE/>
        <w:autoSpaceDN/>
        <w:spacing w:after="160" w:line="259" w:lineRule="auto"/>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What does FPS2015 offer?</w:t>
      </w:r>
    </w:p>
    <w:p w:rsidR="00B111CF" w:rsidRPr="00E32218" w:rsidRDefault="009D00AF" w:rsidP="00E32218">
      <w:pPr>
        <w:pStyle w:val="ListParagraph"/>
        <w:numPr>
          <w:ilvl w:val="0"/>
          <w:numId w:val="8"/>
        </w:numPr>
        <w:tabs>
          <w:tab w:val="left" w:pos="347"/>
        </w:tabs>
        <w:spacing w:before="0" w:after="10"/>
        <w:rPr>
          <w:rFonts w:ascii="Arial" w:hAnsi="Arial" w:cs="Arial"/>
          <w:szCs w:val="24"/>
        </w:rPr>
      </w:pPr>
      <w:r w:rsidRPr="00E32218">
        <w:rPr>
          <w:rFonts w:ascii="Arial" w:hAnsi="Arial" w:cs="Arial"/>
          <w:color w:val="231F20"/>
          <w:szCs w:val="24"/>
        </w:rPr>
        <w:t>A secure pension with benefits set out in</w:t>
      </w:r>
      <w:r w:rsidRPr="00E32218">
        <w:rPr>
          <w:rFonts w:ascii="Arial" w:hAnsi="Arial" w:cs="Arial"/>
          <w:color w:val="231F20"/>
          <w:spacing w:val="-1"/>
          <w:szCs w:val="24"/>
        </w:rPr>
        <w:t xml:space="preserve"> </w:t>
      </w:r>
      <w:r w:rsidRPr="00E32218">
        <w:rPr>
          <w:rFonts w:ascii="Arial" w:hAnsi="Arial" w:cs="Arial"/>
          <w:color w:val="231F20"/>
          <w:szCs w:val="24"/>
        </w:rPr>
        <w:t>law</w:t>
      </w:r>
    </w:p>
    <w:p w:rsidR="00B111CF" w:rsidRPr="00E32218" w:rsidRDefault="009D00AF" w:rsidP="00E32218">
      <w:pPr>
        <w:pStyle w:val="ListParagraph"/>
        <w:numPr>
          <w:ilvl w:val="0"/>
          <w:numId w:val="8"/>
        </w:numPr>
        <w:tabs>
          <w:tab w:val="left" w:pos="347"/>
        </w:tabs>
        <w:spacing w:before="0" w:after="10"/>
        <w:rPr>
          <w:rFonts w:ascii="Arial" w:hAnsi="Arial" w:cs="Arial"/>
          <w:szCs w:val="24"/>
        </w:rPr>
      </w:pPr>
      <w:r w:rsidRPr="00E32218">
        <w:rPr>
          <w:rFonts w:ascii="Arial" w:hAnsi="Arial" w:cs="Arial"/>
          <w:color w:val="231F20"/>
          <w:szCs w:val="24"/>
        </w:rPr>
        <w:t>A</w:t>
      </w:r>
      <w:r w:rsidRPr="00E32218">
        <w:rPr>
          <w:rFonts w:ascii="Arial" w:hAnsi="Arial" w:cs="Arial"/>
          <w:color w:val="231F20"/>
          <w:spacing w:val="-3"/>
          <w:szCs w:val="24"/>
        </w:rPr>
        <w:t xml:space="preserve"> </w:t>
      </w:r>
      <w:r w:rsidRPr="00E32218">
        <w:rPr>
          <w:rFonts w:ascii="Arial" w:hAnsi="Arial" w:cs="Arial"/>
          <w:color w:val="231F20"/>
          <w:szCs w:val="24"/>
        </w:rPr>
        <w:t>pension</w:t>
      </w:r>
      <w:r w:rsidRPr="00E32218">
        <w:rPr>
          <w:rFonts w:ascii="Arial" w:hAnsi="Arial" w:cs="Arial"/>
          <w:color w:val="231F20"/>
          <w:spacing w:val="-3"/>
          <w:szCs w:val="24"/>
        </w:rPr>
        <w:t xml:space="preserve"> </w:t>
      </w:r>
      <w:r w:rsidRPr="00E32218">
        <w:rPr>
          <w:rFonts w:ascii="Arial" w:hAnsi="Arial" w:cs="Arial"/>
          <w:color w:val="231F20"/>
          <w:szCs w:val="24"/>
        </w:rPr>
        <w:t>of</w:t>
      </w:r>
      <w:r w:rsidRPr="00E32218">
        <w:rPr>
          <w:rFonts w:ascii="Arial" w:hAnsi="Arial" w:cs="Arial"/>
          <w:color w:val="231F20"/>
          <w:spacing w:val="-3"/>
          <w:szCs w:val="24"/>
        </w:rPr>
        <w:t xml:space="preserve"> </w:t>
      </w:r>
      <w:r w:rsidRPr="00E32218">
        <w:rPr>
          <w:rFonts w:ascii="Arial" w:hAnsi="Arial" w:cs="Arial"/>
          <w:color w:val="231F20"/>
          <w:szCs w:val="24"/>
        </w:rPr>
        <w:t>1/59.7th</w:t>
      </w:r>
      <w:r w:rsidRPr="00E32218">
        <w:rPr>
          <w:rFonts w:ascii="Arial" w:hAnsi="Arial" w:cs="Arial"/>
          <w:color w:val="231F20"/>
          <w:spacing w:val="-3"/>
          <w:szCs w:val="24"/>
        </w:rPr>
        <w:t xml:space="preserve"> </w:t>
      </w:r>
      <w:r w:rsidRPr="00E32218">
        <w:rPr>
          <w:rFonts w:ascii="Arial" w:hAnsi="Arial" w:cs="Arial"/>
          <w:color w:val="231F20"/>
          <w:szCs w:val="24"/>
        </w:rPr>
        <w:t>of</w:t>
      </w:r>
      <w:r w:rsidRPr="00E32218">
        <w:rPr>
          <w:rFonts w:ascii="Arial" w:hAnsi="Arial" w:cs="Arial"/>
          <w:color w:val="231F20"/>
          <w:spacing w:val="-3"/>
          <w:szCs w:val="24"/>
        </w:rPr>
        <w:t xml:space="preserve"> </w:t>
      </w:r>
      <w:r w:rsidRPr="00E32218">
        <w:rPr>
          <w:rFonts w:ascii="Arial" w:hAnsi="Arial" w:cs="Arial"/>
          <w:color w:val="231F20"/>
          <w:szCs w:val="24"/>
        </w:rPr>
        <w:t>your</w:t>
      </w:r>
      <w:r w:rsidRPr="00E32218">
        <w:rPr>
          <w:rFonts w:ascii="Arial" w:hAnsi="Arial" w:cs="Arial"/>
          <w:color w:val="231F20"/>
          <w:spacing w:val="-3"/>
          <w:szCs w:val="24"/>
        </w:rPr>
        <w:t xml:space="preserve"> </w:t>
      </w:r>
      <w:r w:rsidRPr="00E32218">
        <w:rPr>
          <w:rFonts w:ascii="Arial" w:hAnsi="Arial" w:cs="Arial"/>
          <w:color w:val="231F20"/>
          <w:szCs w:val="24"/>
        </w:rPr>
        <w:t>pay</w:t>
      </w:r>
      <w:r w:rsidRPr="00E32218">
        <w:rPr>
          <w:rFonts w:ascii="Arial" w:hAnsi="Arial" w:cs="Arial"/>
          <w:color w:val="231F20"/>
          <w:spacing w:val="-3"/>
          <w:szCs w:val="24"/>
        </w:rPr>
        <w:t xml:space="preserve"> </w:t>
      </w:r>
      <w:r w:rsidRPr="00E32218">
        <w:rPr>
          <w:rFonts w:ascii="Arial" w:hAnsi="Arial" w:cs="Arial"/>
          <w:color w:val="231F20"/>
          <w:szCs w:val="24"/>
        </w:rPr>
        <w:t>every</w:t>
      </w:r>
      <w:r w:rsidRPr="00E32218">
        <w:rPr>
          <w:rFonts w:ascii="Arial" w:hAnsi="Arial" w:cs="Arial"/>
          <w:color w:val="231F20"/>
          <w:spacing w:val="-3"/>
          <w:szCs w:val="24"/>
        </w:rPr>
        <w:t xml:space="preserve"> </w:t>
      </w:r>
      <w:r w:rsidRPr="00E32218">
        <w:rPr>
          <w:rFonts w:ascii="Arial" w:hAnsi="Arial" w:cs="Arial"/>
          <w:color w:val="231F20"/>
          <w:spacing w:val="-4"/>
          <w:szCs w:val="24"/>
        </w:rPr>
        <w:t>year,</w:t>
      </w:r>
      <w:r w:rsidRPr="00E32218">
        <w:rPr>
          <w:rFonts w:ascii="Arial" w:hAnsi="Arial" w:cs="Arial"/>
          <w:color w:val="231F20"/>
          <w:spacing w:val="-3"/>
          <w:szCs w:val="24"/>
        </w:rPr>
        <w:t xml:space="preserve"> </w:t>
      </w:r>
      <w:r w:rsidRPr="00E32218">
        <w:rPr>
          <w:rFonts w:ascii="Arial" w:hAnsi="Arial" w:cs="Arial"/>
          <w:color w:val="231F20"/>
          <w:szCs w:val="24"/>
        </w:rPr>
        <w:t>added</w:t>
      </w:r>
      <w:r w:rsidRPr="00E32218">
        <w:rPr>
          <w:rFonts w:ascii="Arial" w:hAnsi="Arial" w:cs="Arial"/>
          <w:color w:val="231F20"/>
          <w:spacing w:val="-3"/>
          <w:szCs w:val="24"/>
        </w:rPr>
        <w:t xml:space="preserve"> </w:t>
      </w:r>
      <w:r w:rsidRPr="00E32218">
        <w:rPr>
          <w:rFonts w:ascii="Arial" w:hAnsi="Arial" w:cs="Arial"/>
          <w:color w:val="231F20"/>
          <w:szCs w:val="24"/>
        </w:rPr>
        <w:t>to</w:t>
      </w:r>
      <w:r w:rsidRPr="00E32218">
        <w:rPr>
          <w:rFonts w:ascii="Arial" w:hAnsi="Arial" w:cs="Arial"/>
          <w:color w:val="231F20"/>
          <w:spacing w:val="-3"/>
          <w:szCs w:val="24"/>
        </w:rPr>
        <w:t xml:space="preserve"> </w:t>
      </w:r>
      <w:r w:rsidRPr="00E32218">
        <w:rPr>
          <w:rFonts w:ascii="Arial" w:hAnsi="Arial" w:cs="Arial"/>
          <w:color w:val="231F20"/>
          <w:szCs w:val="24"/>
        </w:rPr>
        <w:t>your</w:t>
      </w:r>
      <w:r w:rsidRPr="00E32218">
        <w:rPr>
          <w:rFonts w:ascii="Arial" w:hAnsi="Arial" w:cs="Arial"/>
          <w:color w:val="231F20"/>
          <w:spacing w:val="-3"/>
          <w:szCs w:val="24"/>
        </w:rPr>
        <w:t xml:space="preserve"> </w:t>
      </w:r>
      <w:r w:rsidRPr="00E32218">
        <w:rPr>
          <w:rFonts w:ascii="Arial" w:hAnsi="Arial" w:cs="Arial"/>
          <w:color w:val="231F20"/>
          <w:szCs w:val="24"/>
        </w:rPr>
        <w:t>pension</w:t>
      </w:r>
      <w:r w:rsidRPr="00E32218">
        <w:rPr>
          <w:rFonts w:ascii="Arial" w:hAnsi="Arial" w:cs="Arial"/>
          <w:color w:val="231F20"/>
          <w:spacing w:val="-3"/>
          <w:szCs w:val="24"/>
        </w:rPr>
        <w:t xml:space="preserve"> </w:t>
      </w:r>
      <w:r w:rsidRPr="00E32218">
        <w:rPr>
          <w:rFonts w:ascii="Arial" w:hAnsi="Arial" w:cs="Arial"/>
          <w:color w:val="231F20"/>
          <w:szCs w:val="24"/>
        </w:rPr>
        <w:t>account</w:t>
      </w:r>
      <w:r w:rsidRPr="00E32218">
        <w:rPr>
          <w:rFonts w:ascii="Arial" w:hAnsi="Arial" w:cs="Arial"/>
          <w:color w:val="231F20"/>
          <w:spacing w:val="-3"/>
          <w:szCs w:val="24"/>
        </w:rPr>
        <w:t xml:space="preserve"> </w:t>
      </w:r>
      <w:r w:rsidRPr="00E32218">
        <w:rPr>
          <w:rFonts w:ascii="Arial" w:hAnsi="Arial" w:cs="Arial"/>
          <w:color w:val="231F20"/>
          <w:szCs w:val="24"/>
        </w:rPr>
        <w:t>and</w:t>
      </w:r>
      <w:r w:rsidRPr="00E32218">
        <w:rPr>
          <w:rFonts w:ascii="Arial" w:hAnsi="Arial" w:cs="Arial"/>
          <w:color w:val="231F20"/>
          <w:spacing w:val="-3"/>
          <w:szCs w:val="24"/>
        </w:rPr>
        <w:t xml:space="preserve"> </w:t>
      </w:r>
      <w:r w:rsidRPr="00E32218">
        <w:rPr>
          <w:rFonts w:ascii="Arial" w:hAnsi="Arial" w:cs="Arial"/>
          <w:color w:val="231F20"/>
          <w:szCs w:val="24"/>
        </w:rPr>
        <w:t>protected</w:t>
      </w:r>
      <w:r w:rsidRPr="00E32218">
        <w:rPr>
          <w:rFonts w:ascii="Arial" w:hAnsi="Arial" w:cs="Arial"/>
          <w:color w:val="231F20"/>
          <w:spacing w:val="-3"/>
          <w:szCs w:val="24"/>
        </w:rPr>
        <w:t xml:space="preserve"> </w:t>
      </w:r>
      <w:r w:rsidRPr="00E32218">
        <w:rPr>
          <w:rFonts w:ascii="Arial" w:hAnsi="Arial" w:cs="Arial"/>
          <w:color w:val="231F20"/>
          <w:szCs w:val="24"/>
        </w:rPr>
        <w:t>against</w:t>
      </w:r>
      <w:r w:rsidRPr="00E32218">
        <w:rPr>
          <w:rFonts w:ascii="Arial" w:hAnsi="Arial" w:cs="Arial"/>
          <w:color w:val="231F20"/>
          <w:spacing w:val="-3"/>
          <w:szCs w:val="24"/>
        </w:rPr>
        <w:t xml:space="preserve"> </w:t>
      </w:r>
      <w:r w:rsidRPr="00E32218">
        <w:rPr>
          <w:rFonts w:ascii="Arial" w:hAnsi="Arial" w:cs="Arial"/>
          <w:color w:val="231F20"/>
          <w:szCs w:val="24"/>
        </w:rPr>
        <w:t>inflation</w:t>
      </w:r>
    </w:p>
    <w:p w:rsidR="00B111CF" w:rsidRPr="00E32218" w:rsidRDefault="009D00AF" w:rsidP="00E32218">
      <w:pPr>
        <w:pStyle w:val="ListParagraph"/>
        <w:numPr>
          <w:ilvl w:val="0"/>
          <w:numId w:val="8"/>
        </w:numPr>
        <w:tabs>
          <w:tab w:val="left" w:pos="344"/>
        </w:tabs>
        <w:spacing w:before="0" w:after="10"/>
        <w:rPr>
          <w:rFonts w:ascii="Arial" w:hAnsi="Arial" w:cs="Arial"/>
          <w:szCs w:val="24"/>
        </w:rPr>
      </w:pPr>
      <w:r w:rsidRPr="00E32218">
        <w:rPr>
          <w:rFonts w:ascii="Arial" w:hAnsi="Arial" w:cs="Arial"/>
          <w:color w:val="231F20"/>
          <w:szCs w:val="24"/>
        </w:rPr>
        <w:t>The option to convert part of your pension into a tax-free lump sum when you</w:t>
      </w:r>
      <w:r w:rsidRPr="00E32218">
        <w:rPr>
          <w:rFonts w:ascii="Arial" w:hAnsi="Arial" w:cs="Arial"/>
          <w:color w:val="231F20"/>
          <w:spacing w:val="-4"/>
          <w:szCs w:val="24"/>
        </w:rPr>
        <w:t xml:space="preserve"> </w:t>
      </w:r>
      <w:r w:rsidRPr="00E32218">
        <w:rPr>
          <w:rFonts w:ascii="Arial" w:hAnsi="Arial" w:cs="Arial"/>
          <w:color w:val="231F20"/>
          <w:szCs w:val="24"/>
        </w:rPr>
        <w:t>retire</w:t>
      </w:r>
    </w:p>
    <w:p w:rsidR="00B111CF" w:rsidRPr="00E32218" w:rsidRDefault="009D00AF" w:rsidP="00E32218">
      <w:pPr>
        <w:pStyle w:val="ListParagraph"/>
        <w:numPr>
          <w:ilvl w:val="0"/>
          <w:numId w:val="8"/>
        </w:numPr>
        <w:tabs>
          <w:tab w:val="left" w:pos="347"/>
        </w:tabs>
        <w:spacing w:before="0" w:after="10"/>
        <w:rPr>
          <w:rFonts w:ascii="Arial" w:hAnsi="Arial" w:cs="Arial"/>
          <w:szCs w:val="24"/>
        </w:rPr>
      </w:pPr>
      <w:r w:rsidRPr="00E32218">
        <w:rPr>
          <w:rFonts w:ascii="Arial" w:hAnsi="Arial" w:cs="Arial"/>
          <w:color w:val="231F20"/>
          <w:szCs w:val="24"/>
        </w:rPr>
        <w:t>Immediate payment of pension benefits if</w:t>
      </w:r>
      <w:r w:rsidRPr="00E32218">
        <w:rPr>
          <w:rFonts w:ascii="Arial" w:hAnsi="Arial" w:cs="Arial"/>
          <w:color w:val="231F20"/>
          <w:spacing w:val="-1"/>
          <w:szCs w:val="24"/>
        </w:rPr>
        <w:t xml:space="preserve"> </w:t>
      </w:r>
      <w:r w:rsidRPr="00E32218">
        <w:rPr>
          <w:rFonts w:ascii="Arial" w:hAnsi="Arial" w:cs="Arial"/>
          <w:color w:val="231F20"/>
          <w:szCs w:val="24"/>
        </w:rPr>
        <w:t>you</w:t>
      </w:r>
    </w:p>
    <w:p w:rsidR="00B111CF" w:rsidRPr="00E32218" w:rsidRDefault="009D00AF" w:rsidP="002D783E">
      <w:pPr>
        <w:pStyle w:val="ListParagraph"/>
        <w:numPr>
          <w:ilvl w:val="1"/>
          <w:numId w:val="4"/>
        </w:numPr>
        <w:tabs>
          <w:tab w:val="left" w:pos="687"/>
        </w:tabs>
        <w:spacing w:before="0" w:after="10" w:line="313" w:lineRule="exact"/>
        <w:rPr>
          <w:rFonts w:ascii="Arial" w:hAnsi="Arial" w:cs="Arial"/>
          <w:szCs w:val="24"/>
        </w:rPr>
      </w:pPr>
      <w:r w:rsidRPr="00E32218">
        <w:rPr>
          <w:rFonts w:ascii="Arial" w:hAnsi="Arial" w:cs="Arial"/>
          <w:color w:val="231F20"/>
          <w:szCs w:val="24"/>
        </w:rPr>
        <w:t>retire at your normal pension age</w:t>
      </w:r>
      <w:r w:rsidRPr="00E32218">
        <w:rPr>
          <w:rFonts w:ascii="Arial" w:hAnsi="Arial" w:cs="Arial"/>
          <w:color w:val="231F20"/>
          <w:spacing w:val="-1"/>
          <w:szCs w:val="24"/>
        </w:rPr>
        <w:t xml:space="preserve"> </w:t>
      </w:r>
      <w:r w:rsidRPr="00E32218">
        <w:rPr>
          <w:rFonts w:ascii="Arial" w:hAnsi="Arial" w:cs="Arial"/>
          <w:color w:val="231F20"/>
          <w:szCs w:val="24"/>
        </w:rPr>
        <w:t>(60)</w:t>
      </w:r>
    </w:p>
    <w:p w:rsidR="00B111CF" w:rsidRPr="00E32218" w:rsidRDefault="009D00AF" w:rsidP="002D783E">
      <w:pPr>
        <w:pStyle w:val="ListParagraph"/>
        <w:numPr>
          <w:ilvl w:val="1"/>
          <w:numId w:val="4"/>
        </w:numPr>
        <w:tabs>
          <w:tab w:val="left" w:pos="687"/>
        </w:tabs>
        <w:spacing w:before="0" w:after="10" w:line="312" w:lineRule="exact"/>
        <w:rPr>
          <w:rFonts w:ascii="Arial" w:hAnsi="Arial" w:cs="Arial"/>
          <w:szCs w:val="24"/>
        </w:rPr>
      </w:pPr>
      <w:r w:rsidRPr="00E32218">
        <w:rPr>
          <w:rFonts w:ascii="Arial" w:hAnsi="Arial" w:cs="Arial"/>
          <w:color w:val="231F20"/>
          <w:szCs w:val="24"/>
        </w:rPr>
        <w:t>retire early from age 55 (but with an early payment</w:t>
      </w:r>
      <w:r w:rsidRPr="00E32218">
        <w:rPr>
          <w:rFonts w:ascii="Arial" w:hAnsi="Arial" w:cs="Arial"/>
          <w:color w:val="231F20"/>
          <w:spacing w:val="-4"/>
          <w:szCs w:val="24"/>
        </w:rPr>
        <w:t xml:space="preserve"> </w:t>
      </w:r>
      <w:r w:rsidRPr="00E32218">
        <w:rPr>
          <w:rFonts w:ascii="Arial" w:hAnsi="Arial" w:cs="Arial"/>
          <w:color w:val="231F20"/>
          <w:szCs w:val="24"/>
        </w:rPr>
        <w:t>reduction)</w:t>
      </w:r>
    </w:p>
    <w:p w:rsidR="00B111CF" w:rsidRPr="00E32218" w:rsidRDefault="009D00AF" w:rsidP="002D783E">
      <w:pPr>
        <w:pStyle w:val="ListParagraph"/>
        <w:numPr>
          <w:ilvl w:val="1"/>
          <w:numId w:val="4"/>
        </w:numPr>
        <w:tabs>
          <w:tab w:val="left" w:pos="687"/>
        </w:tabs>
        <w:spacing w:before="0" w:after="10" w:line="312" w:lineRule="exact"/>
        <w:rPr>
          <w:rFonts w:ascii="Arial" w:hAnsi="Arial" w:cs="Arial"/>
          <w:szCs w:val="24"/>
        </w:rPr>
      </w:pPr>
      <w:bookmarkStart w:id="0" w:name="_GoBack"/>
      <w:r w:rsidRPr="00E32218">
        <w:rPr>
          <w:rFonts w:ascii="Arial" w:hAnsi="Arial" w:cs="Arial"/>
          <w:color w:val="231F20"/>
          <w:szCs w:val="24"/>
        </w:rPr>
        <w:t>have to retire because of permanent ill health or injury at any</w:t>
      </w:r>
      <w:r w:rsidRPr="00E32218">
        <w:rPr>
          <w:rFonts w:ascii="Arial" w:hAnsi="Arial" w:cs="Arial"/>
          <w:color w:val="231F20"/>
          <w:spacing w:val="-2"/>
          <w:szCs w:val="24"/>
        </w:rPr>
        <w:t xml:space="preserve"> </w:t>
      </w:r>
      <w:r w:rsidRPr="00E32218">
        <w:rPr>
          <w:rFonts w:ascii="Arial" w:hAnsi="Arial" w:cs="Arial"/>
          <w:color w:val="231F20"/>
          <w:szCs w:val="24"/>
        </w:rPr>
        <w:t>age</w:t>
      </w:r>
    </w:p>
    <w:bookmarkEnd w:id="0"/>
    <w:p w:rsidR="00B111CF" w:rsidRPr="00E32218" w:rsidRDefault="009D00AF" w:rsidP="002D783E">
      <w:pPr>
        <w:pStyle w:val="ListParagraph"/>
        <w:numPr>
          <w:ilvl w:val="1"/>
          <w:numId w:val="4"/>
        </w:numPr>
        <w:tabs>
          <w:tab w:val="left" w:pos="687"/>
        </w:tabs>
        <w:spacing w:before="0" w:after="10" w:line="313" w:lineRule="exact"/>
        <w:rPr>
          <w:rFonts w:ascii="Arial" w:hAnsi="Arial" w:cs="Arial"/>
          <w:szCs w:val="24"/>
        </w:rPr>
      </w:pPr>
      <w:r w:rsidRPr="00E32218">
        <w:rPr>
          <w:rFonts w:ascii="Arial" w:hAnsi="Arial" w:cs="Arial"/>
          <w:color w:val="231F20"/>
          <w:szCs w:val="24"/>
        </w:rPr>
        <w:t>take partial retirement, at or after the age of 55 without leaving</w:t>
      </w:r>
      <w:r w:rsidRPr="00E32218">
        <w:rPr>
          <w:rFonts w:ascii="Arial" w:hAnsi="Arial" w:cs="Arial"/>
          <w:color w:val="231F20"/>
          <w:spacing w:val="-7"/>
          <w:szCs w:val="24"/>
        </w:rPr>
        <w:t xml:space="preserve"> </w:t>
      </w:r>
      <w:r w:rsidRPr="00E32218">
        <w:rPr>
          <w:rFonts w:ascii="Arial" w:hAnsi="Arial" w:cs="Arial"/>
          <w:color w:val="231F20"/>
          <w:szCs w:val="24"/>
        </w:rPr>
        <w:t>employment</w:t>
      </w:r>
    </w:p>
    <w:p w:rsidR="00B111CF" w:rsidRPr="00E32218" w:rsidRDefault="009D00AF" w:rsidP="00E32218">
      <w:pPr>
        <w:pStyle w:val="ListParagraph"/>
        <w:numPr>
          <w:ilvl w:val="0"/>
          <w:numId w:val="9"/>
        </w:numPr>
        <w:tabs>
          <w:tab w:val="left" w:pos="347"/>
        </w:tabs>
        <w:spacing w:before="0" w:after="10"/>
        <w:rPr>
          <w:rFonts w:ascii="Arial" w:hAnsi="Arial" w:cs="Arial"/>
          <w:szCs w:val="24"/>
        </w:rPr>
      </w:pPr>
      <w:r w:rsidRPr="00E32218">
        <w:rPr>
          <w:rFonts w:ascii="Arial" w:hAnsi="Arial" w:cs="Arial"/>
          <w:color w:val="231F20"/>
          <w:szCs w:val="24"/>
        </w:rPr>
        <w:t>A lump sum of three years’ final pay if you die in</w:t>
      </w:r>
      <w:r w:rsidRPr="00E32218">
        <w:rPr>
          <w:rFonts w:ascii="Arial" w:hAnsi="Arial" w:cs="Arial"/>
          <w:color w:val="231F20"/>
          <w:spacing w:val="-13"/>
          <w:szCs w:val="24"/>
        </w:rPr>
        <w:t xml:space="preserve"> </w:t>
      </w:r>
      <w:r w:rsidRPr="00E32218">
        <w:rPr>
          <w:rFonts w:ascii="Arial" w:hAnsi="Arial" w:cs="Arial"/>
          <w:color w:val="231F20"/>
          <w:szCs w:val="24"/>
        </w:rPr>
        <w:t>service</w:t>
      </w:r>
    </w:p>
    <w:p w:rsidR="00B111CF" w:rsidRPr="00E32218" w:rsidRDefault="009D00AF" w:rsidP="00E32218">
      <w:pPr>
        <w:pStyle w:val="ListParagraph"/>
        <w:numPr>
          <w:ilvl w:val="0"/>
          <w:numId w:val="9"/>
        </w:numPr>
        <w:tabs>
          <w:tab w:val="left" w:pos="347"/>
        </w:tabs>
        <w:spacing w:before="0" w:after="10"/>
        <w:rPr>
          <w:rFonts w:ascii="Arial" w:hAnsi="Arial" w:cs="Arial"/>
          <w:szCs w:val="24"/>
        </w:rPr>
      </w:pPr>
      <w:r w:rsidRPr="00E32218">
        <w:rPr>
          <w:rFonts w:ascii="Arial" w:hAnsi="Arial" w:cs="Arial"/>
          <w:color w:val="231F20"/>
          <w:szCs w:val="24"/>
        </w:rPr>
        <w:t>Family and dependant</w:t>
      </w:r>
      <w:r w:rsidRPr="00E32218">
        <w:rPr>
          <w:rFonts w:ascii="Arial" w:hAnsi="Arial" w:cs="Arial"/>
          <w:color w:val="231F20"/>
          <w:spacing w:val="-1"/>
          <w:szCs w:val="24"/>
        </w:rPr>
        <w:t xml:space="preserve"> </w:t>
      </w:r>
      <w:r w:rsidRPr="00E32218">
        <w:rPr>
          <w:rFonts w:ascii="Arial" w:hAnsi="Arial" w:cs="Arial"/>
          <w:color w:val="231F20"/>
          <w:szCs w:val="24"/>
        </w:rPr>
        <w:t>benefits</w:t>
      </w:r>
    </w:p>
    <w:p w:rsidR="00B111CF" w:rsidRPr="00E32218" w:rsidRDefault="009D00AF" w:rsidP="00E32218">
      <w:pPr>
        <w:pStyle w:val="ListParagraph"/>
        <w:numPr>
          <w:ilvl w:val="0"/>
          <w:numId w:val="9"/>
        </w:numPr>
        <w:tabs>
          <w:tab w:val="left" w:pos="347"/>
        </w:tabs>
        <w:spacing w:before="0" w:after="10"/>
        <w:rPr>
          <w:rFonts w:ascii="Arial" w:hAnsi="Arial" w:cs="Arial"/>
          <w:szCs w:val="24"/>
        </w:rPr>
      </w:pPr>
      <w:r w:rsidRPr="00E32218">
        <w:rPr>
          <w:rFonts w:ascii="Arial" w:hAnsi="Arial" w:cs="Arial"/>
          <w:color w:val="231F20"/>
          <w:szCs w:val="24"/>
        </w:rPr>
        <w:t>A substantial employer contribution towards the cost of your</w:t>
      </w:r>
      <w:r w:rsidRPr="00E32218">
        <w:rPr>
          <w:rFonts w:ascii="Arial" w:hAnsi="Arial" w:cs="Arial"/>
          <w:color w:val="231F20"/>
          <w:spacing w:val="-3"/>
          <w:szCs w:val="24"/>
        </w:rPr>
        <w:t xml:space="preserve"> </w:t>
      </w:r>
      <w:r w:rsidRPr="00E32218">
        <w:rPr>
          <w:rFonts w:ascii="Arial" w:hAnsi="Arial" w:cs="Arial"/>
          <w:color w:val="231F20"/>
          <w:szCs w:val="24"/>
        </w:rPr>
        <w:t>benefits</w:t>
      </w:r>
    </w:p>
    <w:p w:rsidR="00B111CF" w:rsidRPr="00E32218" w:rsidRDefault="009D00AF" w:rsidP="00E32218">
      <w:pPr>
        <w:pStyle w:val="ListParagraph"/>
        <w:numPr>
          <w:ilvl w:val="0"/>
          <w:numId w:val="9"/>
        </w:numPr>
        <w:tabs>
          <w:tab w:val="left" w:pos="344"/>
        </w:tabs>
        <w:spacing w:before="0" w:after="10"/>
        <w:rPr>
          <w:rFonts w:ascii="Arial" w:hAnsi="Arial" w:cs="Arial"/>
          <w:szCs w:val="24"/>
        </w:rPr>
      </w:pPr>
      <w:r w:rsidRPr="00E32218">
        <w:rPr>
          <w:rFonts w:ascii="Arial" w:hAnsi="Arial" w:cs="Arial"/>
          <w:color w:val="231F20"/>
          <w:szCs w:val="24"/>
        </w:rPr>
        <w:t>The opportunity to transfer previous benefits into the scheme in the first 12 months of</w:t>
      </w:r>
      <w:r w:rsidRPr="00E32218">
        <w:rPr>
          <w:rFonts w:ascii="Arial" w:hAnsi="Arial" w:cs="Arial"/>
          <w:color w:val="231F20"/>
          <w:spacing w:val="-18"/>
          <w:szCs w:val="24"/>
        </w:rPr>
        <w:t xml:space="preserve"> </w:t>
      </w:r>
      <w:r w:rsidRPr="00E32218">
        <w:rPr>
          <w:rFonts w:ascii="Arial" w:hAnsi="Arial" w:cs="Arial"/>
          <w:color w:val="231F20"/>
          <w:szCs w:val="24"/>
        </w:rPr>
        <w:t>membership</w:t>
      </w:r>
    </w:p>
    <w:p w:rsidR="00B111CF" w:rsidRPr="00E32218" w:rsidRDefault="009D00AF" w:rsidP="00E32218">
      <w:pPr>
        <w:pStyle w:val="ListParagraph"/>
        <w:numPr>
          <w:ilvl w:val="0"/>
          <w:numId w:val="9"/>
        </w:numPr>
        <w:tabs>
          <w:tab w:val="left" w:pos="344"/>
        </w:tabs>
        <w:spacing w:before="0" w:line="238" w:lineRule="auto"/>
        <w:ind w:right="510"/>
        <w:rPr>
          <w:rFonts w:ascii="Arial" w:hAnsi="Arial" w:cs="Arial"/>
          <w:szCs w:val="24"/>
        </w:rPr>
      </w:pPr>
      <w:r w:rsidRPr="00E32218">
        <w:rPr>
          <w:rFonts w:ascii="Arial" w:hAnsi="Arial" w:cs="Arial"/>
          <w:color w:val="231F20"/>
          <w:szCs w:val="24"/>
        </w:rPr>
        <w:t>The</w:t>
      </w:r>
      <w:r w:rsidRPr="00E32218">
        <w:rPr>
          <w:rFonts w:ascii="Arial" w:hAnsi="Arial" w:cs="Arial"/>
          <w:color w:val="231F20"/>
          <w:spacing w:val="-3"/>
          <w:szCs w:val="24"/>
        </w:rPr>
        <w:t xml:space="preserve"> </w:t>
      </w:r>
      <w:r w:rsidRPr="00E32218">
        <w:rPr>
          <w:rFonts w:ascii="Arial" w:hAnsi="Arial" w:cs="Arial"/>
          <w:color w:val="231F20"/>
          <w:szCs w:val="24"/>
        </w:rPr>
        <w:t>choice</w:t>
      </w:r>
      <w:r w:rsidRPr="00E32218">
        <w:rPr>
          <w:rFonts w:ascii="Arial" w:hAnsi="Arial" w:cs="Arial"/>
          <w:color w:val="231F20"/>
          <w:spacing w:val="-3"/>
          <w:szCs w:val="24"/>
        </w:rPr>
        <w:t xml:space="preserve"> </w:t>
      </w:r>
      <w:r w:rsidRPr="00E32218">
        <w:rPr>
          <w:rFonts w:ascii="Arial" w:hAnsi="Arial" w:cs="Arial"/>
          <w:color w:val="231F20"/>
          <w:szCs w:val="24"/>
        </w:rPr>
        <w:t>of</w:t>
      </w:r>
      <w:r w:rsidRPr="00E32218">
        <w:rPr>
          <w:rFonts w:ascii="Arial" w:hAnsi="Arial" w:cs="Arial"/>
          <w:color w:val="231F20"/>
          <w:spacing w:val="-3"/>
          <w:szCs w:val="24"/>
        </w:rPr>
        <w:t xml:space="preserve"> </w:t>
      </w:r>
      <w:r w:rsidRPr="00E32218">
        <w:rPr>
          <w:rFonts w:ascii="Arial" w:hAnsi="Arial" w:cs="Arial"/>
          <w:color w:val="231F20"/>
          <w:szCs w:val="24"/>
        </w:rPr>
        <w:t>deferring</w:t>
      </w:r>
      <w:r w:rsidRPr="00E32218">
        <w:rPr>
          <w:rFonts w:ascii="Arial" w:hAnsi="Arial" w:cs="Arial"/>
          <w:color w:val="231F20"/>
          <w:spacing w:val="-3"/>
          <w:szCs w:val="24"/>
        </w:rPr>
        <w:t xml:space="preserve"> </w:t>
      </w:r>
      <w:r w:rsidRPr="00E32218">
        <w:rPr>
          <w:rFonts w:ascii="Arial" w:hAnsi="Arial" w:cs="Arial"/>
          <w:color w:val="231F20"/>
          <w:szCs w:val="24"/>
        </w:rPr>
        <w:t>payment</w:t>
      </w:r>
      <w:r w:rsidRPr="00E32218">
        <w:rPr>
          <w:rFonts w:ascii="Arial" w:hAnsi="Arial" w:cs="Arial"/>
          <w:color w:val="231F20"/>
          <w:spacing w:val="-3"/>
          <w:szCs w:val="24"/>
        </w:rPr>
        <w:t xml:space="preserve"> </w:t>
      </w:r>
      <w:r w:rsidRPr="00E32218">
        <w:rPr>
          <w:rFonts w:ascii="Arial" w:hAnsi="Arial" w:cs="Arial"/>
          <w:color w:val="231F20"/>
          <w:szCs w:val="24"/>
        </w:rPr>
        <w:t>of</w:t>
      </w:r>
      <w:r w:rsidRPr="00E32218">
        <w:rPr>
          <w:rFonts w:ascii="Arial" w:hAnsi="Arial" w:cs="Arial"/>
          <w:color w:val="231F20"/>
          <w:spacing w:val="-3"/>
          <w:szCs w:val="24"/>
        </w:rPr>
        <w:t xml:space="preserve"> </w:t>
      </w:r>
      <w:r w:rsidRPr="00E32218">
        <w:rPr>
          <w:rFonts w:ascii="Arial" w:hAnsi="Arial" w:cs="Arial"/>
          <w:color w:val="231F20"/>
          <w:szCs w:val="24"/>
        </w:rPr>
        <w:t>your</w:t>
      </w:r>
      <w:r w:rsidRPr="00E32218">
        <w:rPr>
          <w:rFonts w:ascii="Arial" w:hAnsi="Arial" w:cs="Arial"/>
          <w:color w:val="231F20"/>
          <w:spacing w:val="-3"/>
          <w:szCs w:val="24"/>
        </w:rPr>
        <w:t xml:space="preserve"> </w:t>
      </w:r>
      <w:r w:rsidRPr="00E32218">
        <w:rPr>
          <w:rFonts w:ascii="Arial" w:hAnsi="Arial" w:cs="Arial"/>
          <w:color w:val="231F20"/>
          <w:szCs w:val="24"/>
        </w:rPr>
        <w:t>pension</w:t>
      </w:r>
      <w:r w:rsidRPr="00E32218">
        <w:rPr>
          <w:rFonts w:ascii="Arial" w:hAnsi="Arial" w:cs="Arial"/>
          <w:color w:val="231F20"/>
          <w:spacing w:val="-3"/>
          <w:szCs w:val="24"/>
        </w:rPr>
        <w:t xml:space="preserve"> </w:t>
      </w:r>
      <w:r w:rsidRPr="00E32218">
        <w:rPr>
          <w:rFonts w:ascii="Arial" w:hAnsi="Arial" w:cs="Arial"/>
          <w:color w:val="231F20"/>
          <w:szCs w:val="24"/>
        </w:rPr>
        <w:t>benefits</w:t>
      </w:r>
      <w:r w:rsidRPr="00E32218">
        <w:rPr>
          <w:rFonts w:ascii="Arial" w:hAnsi="Arial" w:cs="Arial"/>
          <w:color w:val="231F20"/>
          <w:spacing w:val="-3"/>
          <w:szCs w:val="24"/>
        </w:rPr>
        <w:t xml:space="preserve"> </w:t>
      </w:r>
      <w:r w:rsidRPr="00E32218">
        <w:rPr>
          <w:rFonts w:ascii="Arial" w:hAnsi="Arial" w:cs="Arial"/>
          <w:color w:val="231F20"/>
          <w:szCs w:val="24"/>
        </w:rPr>
        <w:t>until</w:t>
      </w:r>
      <w:r w:rsidRPr="00E32218">
        <w:rPr>
          <w:rFonts w:ascii="Arial" w:hAnsi="Arial" w:cs="Arial"/>
          <w:color w:val="231F20"/>
          <w:spacing w:val="-3"/>
          <w:szCs w:val="24"/>
        </w:rPr>
        <w:t xml:space="preserve"> </w:t>
      </w:r>
      <w:r w:rsidRPr="00E32218">
        <w:rPr>
          <w:rFonts w:ascii="Arial" w:hAnsi="Arial" w:cs="Arial"/>
          <w:color w:val="231F20"/>
          <w:szCs w:val="24"/>
        </w:rPr>
        <w:t>State</w:t>
      </w:r>
      <w:r w:rsidRPr="00E32218">
        <w:rPr>
          <w:rFonts w:ascii="Arial" w:hAnsi="Arial" w:cs="Arial"/>
          <w:color w:val="231F20"/>
          <w:spacing w:val="-3"/>
          <w:szCs w:val="24"/>
        </w:rPr>
        <w:t xml:space="preserve"> </w:t>
      </w:r>
      <w:r w:rsidRPr="00E32218">
        <w:rPr>
          <w:rFonts w:ascii="Arial" w:hAnsi="Arial" w:cs="Arial"/>
          <w:color w:val="231F20"/>
          <w:szCs w:val="24"/>
        </w:rPr>
        <w:t>Pension</w:t>
      </w:r>
      <w:r w:rsidRPr="00E32218">
        <w:rPr>
          <w:rFonts w:ascii="Arial" w:hAnsi="Arial" w:cs="Arial"/>
          <w:color w:val="231F20"/>
          <w:spacing w:val="-3"/>
          <w:szCs w:val="24"/>
        </w:rPr>
        <w:t xml:space="preserve"> </w:t>
      </w:r>
      <w:r w:rsidRPr="00E32218">
        <w:rPr>
          <w:rFonts w:ascii="Arial" w:hAnsi="Arial" w:cs="Arial"/>
          <w:color w:val="231F20"/>
          <w:szCs w:val="24"/>
        </w:rPr>
        <w:t>Age</w:t>
      </w:r>
      <w:r w:rsidRPr="00E32218">
        <w:rPr>
          <w:rFonts w:ascii="Arial" w:hAnsi="Arial" w:cs="Arial"/>
          <w:color w:val="231F20"/>
          <w:spacing w:val="-3"/>
          <w:szCs w:val="24"/>
        </w:rPr>
        <w:t xml:space="preserve"> </w:t>
      </w:r>
      <w:r w:rsidRPr="00E32218">
        <w:rPr>
          <w:rFonts w:ascii="Arial" w:hAnsi="Arial" w:cs="Arial"/>
          <w:color w:val="231F20"/>
          <w:szCs w:val="24"/>
        </w:rPr>
        <w:t>if</w:t>
      </w:r>
      <w:r w:rsidRPr="00E32218">
        <w:rPr>
          <w:rFonts w:ascii="Arial" w:hAnsi="Arial" w:cs="Arial"/>
          <w:color w:val="231F20"/>
          <w:spacing w:val="-3"/>
          <w:szCs w:val="24"/>
        </w:rPr>
        <w:t xml:space="preserve"> </w:t>
      </w:r>
      <w:r w:rsidRPr="00E32218">
        <w:rPr>
          <w:rFonts w:ascii="Arial" w:hAnsi="Arial" w:cs="Arial"/>
          <w:color w:val="231F20"/>
          <w:szCs w:val="24"/>
        </w:rPr>
        <w:t>you</w:t>
      </w:r>
      <w:r w:rsidRPr="00E32218">
        <w:rPr>
          <w:rFonts w:ascii="Arial" w:hAnsi="Arial" w:cs="Arial"/>
          <w:color w:val="231F20"/>
          <w:spacing w:val="-3"/>
          <w:szCs w:val="24"/>
        </w:rPr>
        <w:t xml:space="preserve"> </w:t>
      </w:r>
      <w:r w:rsidRPr="00E32218">
        <w:rPr>
          <w:rFonts w:ascii="Arial" w:hAnsi="Arial" w:cs="Arial"/>
          <w:color w:val="231F20"/>
          <w:szCs w:val="24"/>
        </w:rPr>
        <w:t>leave</w:t>
      </w:r>
      <w:r w:rsidRPr="00E32218">
        <w:rPr>
          <w:rFonts w:ascii="Arial" w:hAnsi="Arial" w:cs="Arial"/>
          <w:color w:val="231F20"/>
          <w:spacing w:val="-3"/>
          <w:szCs w:val="24"/>
        </w:rPr>
        <w:t xml:space="preserve"> </w:t>
      </w:r>
      <w:r w:rsidRPr="00E32218">
        <w:rPr>
          <w:rFonts w:ascii="Arial" w:hAnsi="Arial" w:cs="Arial"/>
          <w:color w:val="231F20"/>
          <w:szCs w:val="24"/>
        </w:rPr>
        <w:t>the</w:t>
      </w:r>
      <w:r w:rsidRPr="00E32218">
        <w:rPr>
          <w:rFonts w:ascii="Arial" w:hAnsi="Arial" w:cs="Arial"/>
          <w:color w:val="231F20"/>
          <w:spacing w:val="-3"/>
          <w:szCs w:val="24"/>
        </w:rPr>
        <w:t xml:space="preserve"> </w:t>
      </w:r>
      <w:r w:rsidRPr="00E32218">
        <w:rPr>
          <w:rFonts w:ascii="Arial" w:hAnsi="Arial" w:cs="Arial"/>
          <w:color w:val="231F20"/>
          <w:szCs w:val="24"/>
        </w:rPr>
        <w:t>scheme</w:t>
      </w:r>
      <w:r w:rsidRPr="00E32218">
        <w:rPr>
          <w:rFonts w:ascii="Arial" w:hAnsi="Arial" w:cs="Arial"/>
          <w:color w:val="231F20"/>
          <w:spacing w:val="-3"/>
          <w:szCs w:val="24"/>
        </w:rPr>
        <w:t xml:space="preserve"> </w:t>
      </w:r>
      <w:r w:rsidRPr="00E32218">
        <w:rPr>
          <w:rFonts w:ascii="Arial" w:hAnsi="Arial" w:cs="Arial"/>
          <w:color w:val="231F20"/>
          <w:szCs w:val="24"/>
        </w:rPr>
        <w:t>early, or transferring them to another pension arrangement (unless you were a member for less than three months when you would get a refund of contributions</w:t>
      </w:r>
      <w:r w:rsidRPr="00E32218">
        <w:rPr>
          <w:rFonts w:ascii="Arial" w:hAnsi="Arial" w:cs="Arial"/>
          <w:color w:val="231F20"/>
          <w:spacing w:val="-1"/>
          <w:szCs w:val="24"/>
        </w:rPr>
        <w:t xml:space="preserve"> </w:t>
      </w:r>
      <w:r w:rsidRPr="00E32218">
        <w:rPr>
          <w:rFonts w:ascii="Arial" w:hAnsi="Arial" w:cs="Arial"/>
          <w:color w:val="231F20"/>
          <w:szCs w:val="24"/>
        </w:rPr>
        <w:t>instead).</w:t>
      </w:r>
    </w:p>
    <w:p w:rsidR="00B111CF" w:rsidRPr="006955ED" w:rsidRDefault="00B111CF">
      <w:pPr>
        <w:spacing w:line="237" w:lineRule="auto"/>
        <w:rPr>
          <w:rFonts w:asciiTheme="minorHAnsi" w:hAnsiTheme="minorHAnsi"/>
          <w:sz w:val="26"/>
        </w:rPr>
        <w:sectPr w:rsidR="00B111CF" w:rsidRPr="006955ED">
          <w:footerReference w:type="default" r:id="rId10"/>
          <w:type w:val="continuous"/>
          <w:pgSz w:w="11910" w:h="16840"/>
          <w:pgMar w:top="1580" w:right="480" w:bottom="280" w:left="620" w:header="720" w:footer="720" w:gutter="0"/>
          <w:cols w:space="720"/>
        </w:sectPr>
      </w:pPr>
    </w:p>
    <w:p w:rsidR="00B111CF" w:rsidRPr="00E32218" w:rsidRDefault="009D00AF" w:rsidP="00E32218">
      <w:pPr>
        <w:widowControl/>
        <w:autoSpaceDE/>
        <w:autoSpaceDN/>
        <w:spacing w:after="160" w:line="259" w:lineRule="auto"/>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Can I opt out?</w:t>
      </w:r>
    </w:p>
    <w:p w:rsidR="00B111CF" w:rsidRPr="00E32218" w:rsidRDefault="009D00AF">
      <w:pPr>
        <w:spacing w:before="33"/>
        <w:ind w:left="100"/>
        <w:rPr>
          <w:rFonts w:ascii="Arial" w:hAnsi="Arial" w:cs="Arial"/>
        </w:rPr>
      </w:pPr>
      <w:r w:rsidRPr="00E32218">
        <w:rPr>
          <w:rFonts w:ascii="Arial" w:hAnsi="Arial" w:cs="Arial"/>
          <w:color w:val="231F20"/>
        </w:rPr>
        <w:t>Yes. You can opt out any time, even if you’ve opted out before.</w:t>
      </w:r>
    </w:p>
    <w:p w:rsidR="00B111CF" w:rsidRPr="00E32218" w:rsidRDefault="009D00AF">
      <w:pPr>
        <w:spacing w:before="170"/>
        <w:ind w:left="100"/>
        <w:rPr>
          <w:rFonts w:ascii="Arial" w:hAnsi="Arial" w:cs="Arial"/>
        </w:rPr>
      </w:pPr>
      <w:r w:rsidRPr="00E32218">
        <w:rPr>
          <w:rFonts w:ascii="Arial" w:hAnsi="Arial" w:cs="Arial"/>
          <w:color w:val="231F20"/>
        </w:rPr>
        <w:t xml:space="preserve">If you’ve been </w:t>
      </w:r>
      <w:r w:rsidR="002D783E" w:rsidRPr="00E32218">
        <w:rPr>
          <w:rFonts w:ascii="Arial" w:hAnsi="Arial" w:cs="Arial"/>
          <w:color w:val="231F20"/>
        </w:rPr>
        <w:t xml:space="preserve">a </w:t>
      </w:r>
      <w:r w:rsidRPr="00E32218">
        <w:rPr>
          <w:rFonts w:ascii="Arial" w:hAnsi="Arial" w:cs="Arial"/>
          <w:color w:val="231F20"/>
        </w:rPr>
        <w:t>member for less than three months when you opt out, your fire authority will refund your contributions.</w:t>
      </w:r>
    </w:p>
    <w:p w:rsidR="00B111CF" w:rsidRPr="00E32218" w:rsidRDefault="009D00AF">
      <w:pPr>
        <w:spacing w:before="169"/>
        <w:ind w:left="100" w:right="813"/>
        <w:rPr>
          <w:rFonts w:ascii="Arial" w:hAnsi="Arial" w:cs="Arial"/>
        </w:rPr>
      </w:pPr>
      <w:r w:rsidRPr="00E32218">
        <w:rPr>
          <w:rFonts w:ascii="Arial" w:hAnsi="Arial" w:cs="Arial"/>
          <w:color w:val="231F20"/>
        </w:rPr>
        <w:t xml:space="preserve">But think carefully before you do it and consider taking independent advice. FPS2015 is a very good pension scheme – read all the benefits </w:t>
      </w:r>
      <w:r w:rsidR="00E32218">
        <w:rPr>
          <w:rFonts w:ascii="Arial" w:hAnsi="Arial" w:cs="Arial"/>
          <w:color w:val="231F20"/>
        </w:rPr>
        <w:t>above</w:t>
      </w:r>
      <w:r w:rsidRPr="00E32218">
        <w:rPr>
          <w:rFonts w:ascii="Arial" w:hAnsi="Arial" w:cs="Arial"/>
          <w:color w:val="231F20"/>
        </w:rPr>
        <w:t>.</w:t>
      </w:r>
    </w:p>
    <w:p w:rsidR="00B111CF" w:rsidRPr="006955ED" w:rsidRDefault="00B111CF">
      <w:pPr>
        <w:rPr>
          <w:rFonts w:asciiTheme="minorHAnsi" w:hAnsiTheme="minorHAnsi"/>
          <w:sz w:val="20"/>
        </w:rPr>
      </w:pPr>
    </w:p>
    <w:p w:rsidR="00B111CF" w:rsidRPr="006955ED" w:rsidRDefault="00B111CF">
      <w:pPr>
        <w:spacing w:before="6" w:after="1"/>
        <w:rPr>
          <w:rFonts w:asciiTheme="minorHAnsi" w:hAnsiTheme="minorHAnsi"/>
        </w:rPr>
      </w:pPr>
    </w:p>
    <w:tbl>
      <w:tblPr>
        <w:tblW w:w="0" w:type="auto"/>
        <w:tblInd w:w="110" w:type="dxa"/>
        <w:tblBorders>
          <w:top w:val="single" w:sz="8" w:space="0" w:color="auto"/>
          <w:left w:val="single" w:sz="8" w:space="0" w:color="auto"/>
          <w:bottom w:val="single" w:sz="8" w:space="0" w:color="auto"/>
          <w:right w:val="single" w:sz="8" w:space="0" w:color="auto"/>
          <w:insideV w:val="single" w:sz="8" w:space="0" w:color="D2232A"/>
        </w:tblBorders>
        <w:tblLayout w:type="fixed"/>
        <w:tblCellMar>
          <w:left w:w="0" w:type="dxa"/>
          <w:right w:w="0" w:type="dxa"/>
        </w:tblCellMar>
        <w:tblLook w:val="01E0" w:firstRow="1" w:lastRow="1" w:firstColumn="1" w:lastColumn="1" w:noHBand="0" w:noVBand="0"/>
      </w:tblPr>
      <w:tblGrid>
        <w:gridCol w:w="10466"/>
      </w:tblGrid>
      <w:tr w:rsidR="00B111CF" w:rsidRPr="006955ED" w:rsidTr="004108B2">
        <w:trPr>
          <w:trHeight w:val="4833"/>
        </w:trPr>
        <w:tc>
          <w:tcPr>
            <w:tcW w:w="10466" w:type="dxa"/>
          </w:tcPr>
          <w:p w:rsidR="00B111CF" w:rsidRPr="00E32218" w:rsidRDefault="009D00AF" w:rsidP="00E32218">
            <w:pPr>
              <w:widowControl/>
              <w:autoSpaceDE/>
              <w:autoSpaceDN/>
              <w:spacing w:after="160" w:line="259" w:lineRule="auto"/>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Help and disputes</w:t>
            </w:r>
          </w:p>
          <w:p w:rsidR="00B111CF" w:rsidRDefault="009D00AF" w:rsidP="00E32218">
            <w:pPr>
              <w:pStyle w:val="TableParagraph"/>
              <w:spacing w:before="33"/>
              <w:ind w:right="123"/>
              <w:jc w:val="both"/>
              <w:rPr>
                <w:rFonts w:ascii="Arial" w:hAnsi="Arial" w:cs="Arial"/>
                <w:color w:val="231F20"/>
              </w:rPr>
            </w:pPr>
            <w:r w:rsidRPr="00E32218">
              <w:rPr>
                <w:rFonts w:ascii="Arial" w:hAnsi="Arial" w:cs="Arial"/>
                <w:color w:val="231F20"/>
              </w:rPr>
              <w:t>If you, or a dependant, are not satisfied with a decision made by your fire and rescue authority, please contact us first (contact details at the bottom of the page) to see if we can resolve the matter. If you are still not satisfied you have the right to appeal.</w:t>
            </w:r>
          </w:p>
          <w:p w:rsidR="00E32218" w:rsidRPr="00E32218" w:rsidRDefault="00E32218">
            <w:pPr>
              <w:pStyle w:val="TableParagraph"/>
              <w:spacing w:before="33"/>
              <w:ind w:right="123"/>
              <w:rPr>
                <w:rFonts w:ascii="Arial" w:hAnsi="Arial" w:cs="Arial"/>
              </w:rPr>
            </w:pPr>
          </w:p>
          <w:p w:rsidR="00B111CF" w:rsidRPr="00E32218" w:rsidRDefault="009D00AF" w:rsidP="00E32218">
            <w:pPr>
              <w:widowControl/>
              <w:autoSpaceDE/>
              <w:autoSpaceDN/>
              <w:spacing w:after="160" w:line="259" w:lineRule="auto"/>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I</w:t>
            </w:r>
            <w:r w:rsidR="007240FC" w:rsidRPr="00E32218">
              <w:rPr>
                <w:rFonts w:ascii="Impact" w:eastAsiaTheme="minorHAnsi" w:hAnsi="Impact" w:cstheme="minorBidi"/>
                <w:color w:val="34A161"/>
                <w:sz w:val="36"/>
                <w:lang w:eastAsia="en-US" w:bidi="ar-SA"/>
              </w:rPr>
              <w:t xml:space="preserve">nternal </w:t>
            </w:r>
            <w:r w:rsidRPr="00E32218">
              <w:rPr>
                <w:rFonts w:ascii="Impact" w:eastAsiaTheme="minorHAnsi" w:hAnsi="Impact" w:cstheme="minorBidi"/>
                <w:color w:val="34A161"/>
                <w:sz w:val="36"/>
                <w:lang w:eastAsia="en-US" w:bidi="ar-SA"/>
              </w:rPr>
              <w:t>D</w:t>
            </w:r>
            <w:r w:rsidR="007240FC" w:rsidRPr="00E32218">
              <w:rPr>
                <w:rFonts w:ascii="Impact" w:eastAsiaTheme="minorHAnsi" w:hAnsi="Impact" w:cstheme="minorBidi"/>
                <w:color w:val="34A161"/>
                <w:sz w:val="36"/>
                <w:lang w:eastAsia="en-US" w:bidi="ar-SA"/>
              </w:rPr>
              <w:t xml:space="preserve">ispute </w:t>
            </w:r>
            <w:r w:rsidRPr="00E32218">
              <w:rPr>
                <w:rFonts w:ascii="Impact" w:eastAsiaTheme="minorHAnsi" w:hAnsi="Impact" w:cstheme="minorBidi"/>
                <w:color w:val="34A161"/>
                <w:sz w:val="36"/>
                <w:lang w:eastAsia="en-US" w:bidi="ar-SA"/>
              </w:rPr>
              <w:t>R</w:t>
            </w:r>
            <w:r w:rsidR="007240FC" w:rsidRPr="00E32218">
              <w:rPr>
                <w:rFonts w:ascii="Impact" w:eastAsiaTheme="minorHAnsi" w:hAnsi="Impact" w:cstheme="minorBidi"/>
                <w:color w:val="34A161"/>
                <w:sz w:val="36"/>
                <w:lang w:eastAsia="en-US" w:bidi="ar-SA"/>
              </w:rPr>
              <w:t xml:space="preserve">esolution </w:t>
            </w:r>
            <w:r w:rsidRPr="00E32218">
              <w:rPr>
                <w:rFonts w:ascii="Impact" w:eastAsiaTheme="minorHAnsi" w:hAnsi="Impact" w:cstheme="minorBidi"/>
                <w:color w:val="34A161"/>
                <w:sz w:val="36"/>
                <w:lang w:eastAsia="en-US" w:bidi="ar-SA"/>
              </w:rPr>
              <w:t>P</w:t>
            </w:r>
            <w:r w:rsidR="007240FC" w:rsidRPr="00E32218">
              <w:rPr>
                <w:rFonts w:ascii="Impact" w:eastAsiaTheme="minorHAnsi" w:hAnsi="Impact" w:cstheme="minorBidi"/>
                <w:color w:val="34A161"/>
                <w:sz w:val="36"/>
                <w:lang w:eastAsia="en-US" w:bidi="ar-SA"/>
              </w:rPr>
              <w:t>rocedure (IDRP)</w:t>
            </w:r>
          </w:p>
          <w:p w:rsidR="00B111CF" w:rsidRPr="00E32218" w:rsidRDefault="009D00AF" w:rsidP="00E32218">
            <w:pPr>
              <w:pStyle w:val="TableParagraph"/>
              <w:spacing w:before="33"/>
              <w:ind w:right="114"/>
              <w:jc w:val="both"/>
              <w:rPr>
                <w:rFonts w:ascii="Arial" w:hAnsi="Arial" w:cs="Arial"/>
              </w:rPr>
            </w:pPr>
            <w:r w:rsidRPr="00E32218">
              <w:rPr>
                <w:rFonts w:ascii="Arial" w:hAnsi="Arial" w:cs="Arial"/>
                <w:color w:val="231F20"/>
              </w:rPr>
              <w:t xml:space="preserve">If you are not satisfied with any decision affecting you made in relation to the scheme, you have the right to ask for it to be looked at again under the formal complaint procedure. You also have the right to use the procedure if a decision should have been made by your employer or administering authority, but it hasn’t been. The complaint procedure’s official name is the </w:t>
            </w:r>
            <w:r w:rsidRPr="00E32218">
              <w:rPr>
                <w:rFonts w:ascii="Arial" w:hAnsi="Arial" w:cs="Arial"/>
                <w:b/>
                <w:color w:val="231F20"/>
              </w:rPr>
              <w:t>Internal Dispute Resolution Procedure</w:t>
            </w:r>
            <w:r w:rsidRPr="00E32218">
              <w:rPr>
                <w:rFonts w:ascii="Arial" w:hAnsi="Arial" w:cs="Arial"/>
                <w:color w:val="231F20"/>
              </w:rPr>
              <w:t xml:space="preserve"> (IDRP).</w:t>
            </w:r>
          </w:p>
          <w:p w:rsidR="00B111CF" w:rsidRPr="00E32218" w:rsidRDefault="009D00AF" w:rsidP="00E32218">
            <w:pPr>
              <w:pStyle w:val="TableParagraph"/>
              <w:spacing w:before="55"/>
              <w:jc w:val="both"/>
              <w:rPr>
                <w:rFonts w:ascii="Arial" w:hAnsi="Arial" w:cs="Arial"/>
              </w:rPr>
            </w:pPr>
            <w:r w:rsidRPr="00E32218">
              <w:rPr>
                <w:rFonts w:ascii="Arial" w:hAnsi="Arial" w:cs="Arial"/>
                <w:color w:val="231F20"/>
              </w:rPr>
              <w:t>If you need to make a formal complaint, you should make it:</w:t>
            </w:r>
          </w:p>
          <w:p w:rsidR="00B111CF" w:rsidRPr="00E32218" w:rsidRDefault="009D00AF" w:rsidP="00E32218">
            <w:pPr>
              <w:pStyle w:val="TableParagraph"/>
              <w:numPr>
                <w:ilvl w:val="0"/>
                <w:numId w:val="5"/>
              </w:numPr>
              <w:tabs>
                <w:tab w:val="left" w:pos="251"/>
              </w:tabs>
              <w:spacing w:before="56" w:line="264" w:lineRule="exact"/>
              <w:jc w:val="both"/>
              <w:rPr>
                <w:rFonts w:ascii="Arial" w:hAnsi="Arial" w:cs="Arial"/>
              </w:rPr>
            </w:pPr>
            <w:r w:rsidRPr="00E32218">
              <w:rPr>
                <w:rFonts w:ascii="Arial" w:hAnsi="Arial" w:cs="Arial"/>
                <w:color w:val="231F20"/>
              </w:rPr>
              <w:t>in writing, using the application form,</w:t>
            </w:r>
            <w:r w:rsidRPr="00E32218">
              <w:rPr>
                <w:rFonts w:ascii="Arial" w:hAnsi="Arial" w:cs="Arial"/>
                <w:color w:val="231F20"/>
                <w:spacing w:val="-1"/>
              </w:rPr>
              <w:t xml:space="preserve"> </w:t>
            </w:r>
            <w:r w:rsidRPr="00E32218">
              <w:rPr>
                <w:rFonts w:ascii="Arial" w:hAnsi="Arial" w:cs="Arial"/>
                <w:color w:val="231F20"/>
              </w:rPr>
              <w:t>and</w:t>
            </w:r>
          </w:p>
          <w:p w:rsidR="00B111CF" w:rsidRPr="00E32218" w:rsidRDefault="009D00AF" w:rsidP="00E32218">
            <w:pPr>
              <w:pStyle w:val="TableParagraph"/>
              <w:numPr>
                <w:ilvl w:val="0"/>
                <w:numId w:val="5"/>
              </w:numPr>
              <w:tabs>
                <w:tab w:val="left" w:pos="251"/>
              </w:tabs>
              <w:spacing w:before="0" w:line="264" w:lineRule="exact"/>
              <w:jc w:val="both"/>
              <w:rPr>
                <w:rFonts w:ascii="Arial" w:hAnsi="Arial" w:cs="Arial"/>
              </w:rPr>
            </w:pPr>
            <w:r w:rsidRPr="00E32218">
              <w:rPr>
                <w:rFonts w:ascii="Arial" w:hAnsi="Arial" w:cs="Arial"/>
                <w:color w:val="231F20"/>
              </w:rPr>
              <w:t>normally within six months of the day when you were told of the decision you want to complain</w:t>
            </w:r>
            <w:r w:rsidRPr="00E32218">
              <w:rPr>
                <w:rFonts w:ascii="Arial" w:hAnsi="Arial" w:cs="Arial"/>
                <w:color w:val="231F20"/>
                <w:spacing w:val="-13"/>
              </w:rPr>
              <w:t xml:space="preserve"> </w:t>
            </w:r>
            <w:r w:rsidRPr="00E32218">
              <w:rPr>
                <w:rFonts w:ascii="Arial" w:hAnsi="Arial" w:cs="Arial"/>
                <w:color w:val="231F20"/>
              </w:rPr>
              <w:t>about.</w:t>
            </w:r>
          </w:p>
          <w:p w:rsidR="00B111CF" w:rsidRPr="006955ED" w:rsidRDefault="009D00AF" w:rsidP="00E32218">
            <w:pPr>
              <w:pStyle w:val="TableParagraph"/>
              <w:spacing w:before="56"/>
              <w:jc w:val="both"/>
              <w:rPr>
                <w:rFonts w:asciiTheme="minorHAnsi" w:hAnsiTheme="minorHAnsi"/>
              </w:rPr>
            </w:pPr>
            <w:r w:rsidRPr="00E32218">
              <w:rPr>
                <w:rFonts w:ascii="Arial" w:hAnsi="Arial" w:cs="Arial"/>
                <w:color w:val="231F20"/>
              </w:rPr>
              <w:t>Your complaint will be considered carefully by a person nominated by the body that took the decision against which you wish to complain. This guide calls and legislation refers to them as the ‘Nominated Person’. That person is required to give you their decision in writing.</w:t>
            </w:r>
          </w:p>
        </w:tc>
      </w:tr>
      <w:tr w:rsidR="00B111CF" w:rsidRPr="006955ED" w:rsidTr="004108B2">
        <w:trPr>
          <w:trHeight w:val="271"/>
        </w:trPr>
        <w:tc>
          <w:tcPr>
            <w:tcW w:w="10466" w:type="dxa"/>
          </w:tcPr>
          <w:p w:rsidR="00B111CF" w:rsidRPr="006955ED" w:rsidRDefault="00B111CF">
            <w:pPr>
              <w:pStyle w:val="TableParagraph"/>
              <w:spacing w:before="0"/>
              <w:ind w:left="0"/>
              <w:rPr>
                <w:rFonts w:asciiTheme="minorHAnsi" w:hAnsiTheme="minorHAnsi"/>
                <w:sz w:val="4"/>
              </w:rPr>
            </w:pPr>
          </w:p>
        </w:tc>
      </w:tr>
      <w:tr w:rsidR="00B111CF" w:rsidRPr="006955ED" w:rsidTr="004108B2">
        <w:trPr>
          <w:trHeight w:val="3251"/>
        </w:trPr>
        <w:tc>
          <w:tcPr>
            <w:tcW w:w="10466" w:type="dxa"/>
          </w:tcPr>
          <w:p w:rsidR="00B111CF" w:rsidRDefault="009D00AF">
            <w:pPr>
              <w:pStyle w:val="TableParagraph"/>
              <w:spacing w:before="54"/>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Other organisations who can help</w:t>
            </w:r>
          </w:p>
          <w:p w:rsidR="00B111CF" w:rsidRPr="00E32218" w:rsidRDefault="009D00AF" w:rsidP="00E32218">
            <w:pPr>
              <w:pStyle w:val="TableParagraph"/>
              <w:spacing w:before="29" w:line="235" w:lineRule="auto"/>
              <w:ind w:right="871"/>
              <w:jc w:val="both"/>
              <w:rPr>
                <w:rFonts w:ascii="Arial" w:hAnsi="Arial" w:cs="Arial"/>
                <w:b/>
              </w:rPr>
            </w:pPr>
            <w:r w:rsidRPr="004108B2">
              <w:rPr>
                <w:rFonts w:ascii="Arial" w:hAnsi="Arial" w:cs="Arial"/>
                <w:b/>
              </w:rPr>
              <w:t xml:space="preserve">The Pensions Ombudsman </w:t>
            </w:r>
            <w:r w:rsidRPr="00E32218">
              <w:rPr>
                <w:rFonts w:ascii="Arial" w:hAnsi="Arial" w:cs="Arial"/>
                <w:b/>
                <w:color w:val="231F20"/>
              </w:rPr>
              <w:t xml:space="preserve">– </w:t>
            </w:r>
            <w:r w:rsidR="004108B2" w:rsidRPr="004108B2">
              <w:rPr>
                <w:rFonts w:ascii="Arial" w:hAnsi="Arial" w:cs="Arial"/>
                <w:color w:val="231F20"/>
              </w:rPr>
              <w:t>If you have a complaint or dispute concerning your workplace or personal pension arrangements you should contact</w:t>
            </w:r>
            <w:r w:rsidR="004108B2">
              <w:rPr>
                <w:rFonts w:ascii="Arial" w:hAnsi="Arial" w:cs="Arial"/>
                <w:color w:val="231F20"/>
              </w:rPr>
              <w:t xml:space="preserve"> </w:t>
            </w:r>
            <w:r w:rsidRPr="00E32218">
              <w:rPr>
                <w:rFonts w:ascii="Arial" w:hAnsi="Arial" w:cs="Arial"/>
                <w:color w:val="231F20"/>
              </w:rPr>
              <w:t xml:space="preserve">The Pensions Ombudsman on 0800 917 4487 or via </w:t>
            </w:r>
            <w:hyperlink r:id="rId11">
              <w:r w:rsidRPr="00B417A3">
                <w:rPr>
                  <w:rStyle w:val="Hyperlink"/>
                  <w:rFonts w:ascii="Arial" w:eastAsia="Times New Roman" w:hAnsi="Arial" w:cs="Arial"/>
                  <w:iCs/>
                  <w:lang w:bidi="ar-SA"/>
                </w:rPr>
                <w:t>www.pensions-ombudsman.org.uk</w:t>
              </w:r>
            </w:hyperlink>
          </w:p>
          <w:p w:rsidR="00B111CF" w:rsidRPr="00E32218" w:rsidRDefault="00B111CF" w:rsidP="00E32218">
            <w:pPr>
              <w:pStyle w:val="TableParagraph"/>
              <w:spacing w:before="7"/>
              <w:ind w:left="0"/>
              <w:jc w:val="both"/>
              <w:rPr>
                <w:rFonts w:ascii="Arial" w:hAnsi="Arial" w:cs="Arial"/>
                <w:sz w:val="23"/>
              </w:rPr>
            </w:pPr>
          </w:p>
          <w:p w:rsidR="00B111CF" w:rsidRPr="004108B2" w:rsidRDefault="009D00AF" w:rsidP="004108B2">
            <w:pPr>
              <w:pStyle w:val="TableParagraph"/>
              <w:spacing w:before="1" w:line="232" w:lineRule="auto"/>
              <w:jc w:val="both"/>
              <w:rPr>
                <w:rFonts w:ascii="Arial" w:hAnsi="Arial" w:cs="Arial"/>
                <w:color w:val="231F20"/>
              </w:rPr>
            </w:pPr>
            <w:r w:rsidRPr="004108B2">
              <w:rPr>
                <w:rFonts w:ascii="Arial" w:hAnsi="Arial" w:cs="Arial"/>
                <w:b/>
              </w:rPr>
              <w:t xml:space="preserve">The Pensions Advisory Service </w:t>
            </w:r>
            <w:r w:rsidRPr="00E32218">
              <w:rPr>
                <w:rFonts w:ascii="Arial" w:hAnsi="Arial" w:cs="Arial"/>
                <w:b/>
                <w:color w:val="231F20"/>
              </w:rPr>
              <w:t xml:space="preserve">– </w:t>
            </w:r>
            <w:r w:rsidR="004108B2" w:rsidRPr="004108B2">
              <w:rPr>
                <w:rFonts w:ascii="Arial" w:hAnsi="Arial" w:cs="Arial"/>
                <w:color w:val="231F20"/>
              </w:rPr>
              <w:t xml:space="preserve">If you have general requests for information or guidance concerning your pension arrangements </w:t>
            </w:r>
            <w:proofErr w:type="spellStart"/>
            <w:r w:rsidR="004108B2" w:rsidRPr="004108B2">
              <w:rPr>
                <w:rFonts w:ascii="Arial" w:hAnsi="Arial" w:cs="Arial"/>
                <w:color w:val="231F20"/>
              </w:rPr>
              <w:t>contact</w:t>
            </w:r>
            <w:r w:rsidRPr="00E32218">
              <w:rPr>
                <w:rFonts w:ascii="Arial" w:hAnsi="Arial" w:cs="Arial"/>
                <w:color w:val="231F20"/>
              </w:rPr>
              <w:t>The</w:t>
            </w:r>
            <w:proofErr w:type="spellEnd"/>
            <w:r w:rsidRPr="00E32218">
              <w:rPr>
                <w:rFonts w:ascii="Arial" w:hAnsi="Arial" w:cs="Arial"/>
                <w:color w:val="231F20"/>
              </w:rPr>
              <w:t xml:space="preserve"> Pensions Advisory Service on 0300 123</w:t>
            </w:r>
            <w:r w:rsidR="004108B2">
              <w:rPr>
                <w:rFonts w:ascii="Arial" w:hAnsi="Arial" w:cs="Arial"/>
                <w:color w:val="231F20"/>
              </w:rPr>
              <w:t xml:space="preserve"> </w:t>
            </w:r>
            <w:r w:rsidRPr="00E32218">
              <w:rPr>
                <w:rFonts w:ascii="Arial" w:hAnsi="Arial" w:cs="Arial"/>
                <w:color w:val="231F20"/>
              </w:rPr>
              <w:t xml:space="preserve">1047 or via </w:t>
            </w:r>
            <w:hyperlink r:id="rId12">
              <w:r w:rsidRPr="00B417A3">
                <w:rPr>
                  <w:rStyle w:val="Hyperlink"/>
                  <w:rFonts w:ascii="Arial" w:eastAsia="Times New Roman" w:hAnsi="Arial" w:cs="Arial"/>
                  <w:iCs/>
                  <w:lang w:bidi="ar-SA"/>
                </w:rPr>
                <w:t>www.pensionsadvisoryservice.org.uk</w:t>
              </w:r>
            </w:hyperlink>
          </w:p>
          <w:p w:rsidR="00B111CF" w:rsidRPr="00E32218" w:rsidRDefault="00B111CF" w:rsidP="00E32218">
            <w:pPr>
              <w:pStyle w:val="TableParagraph"/>
              <w:spacing w:before="3"/>
              <w:ind w:left="0"/>
              <w:jc w:val="both"/>
              <w:rPr>
                <w:rFonts w:ascii="Arial" w:hAnsi="Arial" w:cs="Arial"/>
                <w:sz w:val="23"/>
              </w:rPr>
            </w:pPr>
          </w:p>
          <w:p w:rsidR="00B111CF" w:rsidRPr="006955ED" w:rsidRDefault="009D00AF" w:rsidP="00E32218">
            <w:pPr>
              <w:pStyle w:val="TableParagraph"/>
              <w:spacing w:before="1" w:line="235" w:lineRule="auto"/>
              <w:ind w:right="114"/>
              <w:jc w:val="both"/>
              <w:rPr>
                <w:rFonts w:asciiTheme="minorHAnsi" w:hAnsiTheme="minorHAnsi"/>
                <w:b/>
              </w:rPr>
            </w:pPr>
            <w:r w:rsidRPr="004108B2">
              <w:rPr>
                <w:rFonts w:ascii="Arial" w:hAnsi="Arial" w:cs="Arial"/>
                <w:b/>
              </w:rPr>
              <w:t xml:space="preserve">The Pensions Regulator </w:t>
            </w:r>
            <w:r w:rsidRPr="00E32218">
              <w:rPr>
                <w:rFonts w:ascii="Arial" w:hAnsi="Arial" w:cs="Arial"/>
                <w:b/>
                <w:color w:val="231F20"/>
              </w:rPr>
              <w:t xml:space="preserve">– </w:t>
            </w:r>
            <w:r w:rsidRPr="00E32218">
              <w:rPr>
                <w:rFonts w:ascii="Arial" w:hAnsi="Arial" w:cs="Arial"/>
                <w:color w:val="231F20"/>
              </w:rPr>
              <w:t xml:space="preserve">The Pensions Regulator (TPR) may intervene in the running of schemes where trustees, managers, employers or professional advisers have failed in their duties. Contact TPR on 0345 600 5666 or via </w:t>
            </w:r>
            <w:hyperlink r:id="rId13">
              <w:r w:rsidRPr="00B417A3">
                <w:rPr>
                  <w:rStyle w:val="Hyperlink"/>
                  <w:rFonts w:ascii="Arial" w:eastAsia="Times New Roman" w:hAnsi="Arial" w:cs="Arial"/>
                  <w:iCs/>
                  <w:lang w:bidi="ar-SA"/>
                </w:rPr>
                <w:t>www.thepensionsregulator.gov.uk</w:t>
              </w:r>
            </w:hyperlink>
          </w:p>
        </w:tc>
      </w:tr>
    </w:tbl>
    <w:p w:rsidR="00B111CF" w:rsidRPr="006955ED" w:rsidRDefault="00B111CF">
      <w:pPr>
        <w:spacing w:before="1"/>
        <w:rPr>
          <w:rFonts w:asciiTheme="minorHAnsi" w:hAnsiTheme="minorHAnsi"/>
          <w:sz w:val="17"/>
        </w:rPr>
      </w:pPr>
    </w:p>
    <w:p w:rsidR="00B111CF" w:rsidRPr="00E32218" w:rsidRDefault="009D00AF" w:rsidP="00E32218">
      <w:pPr>
        <w:pStyle w:val="TableParagraph"/>
        <w:spacing w:before="54"/>
        <w:rPr>
          <w:rFonts w:ascii="Impact" w:eastAsiaTheme="minorHAnsi" w:hAnsi="Impact" w:cstheme="minorBidi"/>
          <w:color w:val="34A161"/>
          <w:sz w:val="36"/>
          <w:lang w:eastAsia="en-US" w:bidi="ar-SA"/>
        </w:rPr>
      </w:pPr>
      <w:r w:rsidRPr="00E32218">
        <w:rPr>
          <w:rFonts w:ascii="Impact" w:eastAsiaTheme="minorHAnsi" w:hAnsi="Impact" w:cstheme="minorBidi"/>
          <w:color w:val="34A161"/>
          <w:sz w:val="36"/>
          <w:lang w:eastAsia="en-US" w:bidi="ar-SA"/>
        </w:rPr>
        <w:t>More information</w:t>
      </w:r>
    </w:p>
    <w:p w:rsidR="00B111CF" w:rsidRPr="00E32218" w:rsidRDefault="009D00AF" w:rsidP="009D00AF">
      <w:pPr>
        <w:pStyle w:val="ListParagraph"/>
        <w:numPr>
          <w:ilvl w:val="0"/>
          <w:numId w:val="7"/>
        </w:numPr>
        <w:tabs>
          <w:tab w:val="left" w:pos="216"/>
        </w:tabs>
        <w:spacing w:before="43"/>
        <w:rPr>
          <w:rFonts w:ascii="Arial" w:hAnsi="Arial" w:cs="Arial"/>
          <w:color w:val="000000" w:themeColor="text1"/>
        </w:rPr>
      </w:pPr>
      <w:r w:rsidRPr="00E32218">
        <w:rPr>
          <w:rFonts w:ascii="Arial" w:hAnsi="Arial" w:cs="Arial"/>
          <w:color w:val="231F20"/>
        </w:rPr>
        <w:t>Se</w:t>
      </w:r>
      <w:r w:rsidRPr="00E32218">
        <w:rPr>
          <w:rFonts w:ascii="Arial" w:hAnsi="Arial" w:cs="Arial"/>
          <w:color w:val="000000" w:themeColor="text1"/>
        </w:rPr>
        <w:t xml:space="preserve">e </w:t>
      </w:r>
      <w:r w:rsidRPr="00B417A3">
        <w:rPr>
          <w:rStyle w:val="Hyperlink"/>
          <w:rFonts w:ascii="Arial" w:eastAsia="Times New Roman" w:hAnsi="Arial" w:cs="Arial"/>
          <w:iCs/>
          <w:highlight w:val="yellow"/>
          <w:lang w:bidi="ar-SA"/>
        </w:rPr>
        <w:t>www.insertyourwebsitehere</w:t>
      </w:r>
      <w:r w:rsidRPr="00B417A3">
        <w:rPr>
          <w:rStyle w:val="Hyperlink"/>
          <w:rFonts w:ascii="Myriad Pro" w:eastAsia="Times New Roman" w:hAnsi="Myriad Pro" w:cs="Myriad Pro"/>
          <w:iCs/>
          <w:u w:val="none"/>
          <w:lang w:bidi="ar-SA"/>
        </w:rPr>
        <w:t xml:space="preserve"> </w:t>
      </w:r>
      <w:r w:rsidRPr="00B417A3">
        <w:rPr>
          <w:rStyle w:val="Hyperlink"/>
          <w:rFonts w:ascii="Myriad Pro" w:eastAsia="Times New Roman" w:hAnsi="Myriad Pro" w:cs="Myriad Pro"/>
          <w:iCs/>
          <w:color w:val="auto"/>
          <w:u w:val="none"/>
          <w:lang w:bidi="ar-SA"/>
        </w:rPr>
        <w:t>for</w:t>
      </w:r>
      <w:r w:rsidRPr="00B417A3">
        <w:rPr>
          <w:rFonts w:ascii="Arial" w:hAnsi="Arial" w:cs="Arial"/>
        </w:rPr>
        <w:t xml:space="preserve"> m</w:t>
      </w:r>
      <w:r w:rsidRPr="00E32218">
        <w:rPr>
          <w:rFonts w:ascii="Arial" w:hAnsi="Arial" w:cs="Arial"/>
          <w:color w:val="000000" w:themeColor="text1"/>
        </w:rPr>
        <w:t>ore information about the pension</w:t>
      </w:r>
      <w:r w:rsidRPr="00E32218">
        <w:rPr>
          <w:rFonts w:ascii="Arial" w:hAnsi="Arial" w:cs="Arial"/>
          <w:color w:val="000000" w:themeColor="text1"/>
          <w:spacing w:val="-1"/>
        </w:rPr>
        <w:t xml:space="preserve"> </w:t>
      </w:r>
      <w:r w:rsidRPr="00E32218">
        <w:rPr>
          <w:rFonts w:ascii="Arial" w:hAnsi="Arial" w:cs="Arial"/>
          <w:color w:val="000000" w:themeColor="text1"/>
        </w:rPr>
        <w:t>scheme.</w:t>
      </w:r>
    </w:p>
    <w:p w:rsidR="00B111CF" w:rsidRPr="00E32218" w:rsidRDefault="009D00AF" w:rsidP="009D00AF">
      <w:pPr>
        <w:pStyle w:val="ListParagraph"/>
        <w:numPr>
          <w:ilvl w:val="0"/>
          <w:numId w:val="7"/>
        </w:numPr>
        <w:tabs>
          <w:tab w:val="left" w:pos="216"/>
        </w:tabs>
        <w:spacing w:before="56"/>
        <w:rPr>
          <w:rFonts w:ascii="Arial" w:hAnsi="Arial" w:cs="Arial"/>
          <w:color w:val="000000" w:themeColor="text1"/>
        </w:rPr>
      </w:pPr>
      <w:r w:rsidRPr="00E32218">
        <w:rPr>
          <w:rFonts w:ascii="Arial" w:hAnsi="Arial" w:cs="Arial"/>
          <w:color w:val="000000" w:themeColor="text1"/>
        </w:rPr>
        <w:t xml:space="preserve">Phone us on </w:t>
      </w:r>
      <w:proofErr w:type="spellStart"/>
      <w:r w:rsidRPr="00B417A3">
        <w:rPr>
          <w:rFonts w:ascii="Arial" w:hAnsi="Arial" w:cs="Arial"/>
          <w:color w:val="000000" w:themeColor="text1"/>
          <w:highlight w:val="yellow"/>
        </w:rPr>
        <w:t>insertyourphonenumberhere</w:t>
      </w:r>
      <w:proofErr w:type="spellEnd"/>
    </w:p>
    <w:p w:rsidR="00B111CF" w:rsidRPr="00B417A3" w:rsidRDefault="009D00AF" w:rsidP="009D00AF">
      <w:pPr>
        <w:pStyle w:val="ListParagraph"/>
        <w:numPr>
          <w:ilvl w:val="0"/>
          <w:numId w:val="7"/>
        </w:numPr>
        <w:tabs>
          <w:tab w:val="left" w:pos="242"/>
        </w:tabs>
        <w:spacing w:before="34"/>
        <w:rPr>
          <w:rStyle w:val="Hyperlink"/>
          <w:rFonts w:ascii="Arial" w:eastAsia="Times New Roman" w:hAnsi="Arial" w:cs="Arial"/>
          <w:iCs/>
          <w:lang w:bidi="ar-SA"/>
        </w:rPr>
      </w:pPr>
      <w:r w:rsidRPr="00E32218">
        <w:rPr>
          <w:rFonts w:ascii="Arial" w:hAnsi="Arial" w:cs="Arial"/>
          <w:color w:val="000000" w:themeColor="text1"/>
        </w:rPr>
        <w:t>E</w:t>
      </w:r>
      <w:r w:rsidRPr="00E32218">
        <w:rPr>
          <w:rFonts w:ascii="Arial" w:hAnsi="Arial" w:cs="Arial"/>
          <w:color w:val="231F20"/>
        </w:rPr>
        <w:t>mail us at</w:t>
      </w:r>
      <w:r w:rsidRPr="00E32218">
        <w:rPr>
          <w:rFonts w:ascii="Arial" w:hAnsi="Arial" w:cs="Arial"/>
          <w:color w:val="231F20"/>
          <w:spacing w:val="-1"/>
        </w:rPr>
        <w:t xml:space="preserve"> </w:t>
      </w:r>
      <w:proofErr w:type="spellStart"/>
      <w:r w:rsidRPr="00B417A3">
        <w:rPr>
          <w:rStyle w:val="Hyperlink"/>
          <w:rFonts w:ascii="Arial" w:eastAsia="Times New Roman" w:hAnsi="Arial" w:cs="Arial"/>
          <w:iCs/>
          <w:highlight w:val="yellow"/>
          <w:lang w:bidi="ar-SA"/>
        </w:rPr>
        <w:t>insertyouremail@addresshere</w:t>
      </w:r>
      <w:proofErr w:type="spellEnd"/>
    </w:p>
    <w:p w:rsidR="00B111CF" w:rsidRPr="006955ED" w:rsidRDefault="00B111CF">
      <w:pPr>
        <w:rPr>
          <w:rFonts w:asciiTheme="minorHAnsi" w:hAnsiTheme="minorHAnsi"/>
          <w:b/>
          <w:sz w:val="24"/>
        </w:rPr>
      </w:pPr>
    </w:p>
    <w:p w:rsidR="00B111CF" w:rsidRPr="006955ED" w:rsidRDefault="00B111CF">
      <w:pPr>
        <w:spacing w:before="11"/>
        <w:rPr>
          <w:rFonts w:asciiTheme="minorHAnsi" w:hAnsiTheme="minorHAnsi"/>
          <w:b/>
          <w:sz w:val="25"/>
        </w:rPr>
      </w:pPr>
    </w:p>
    <w:p w:rsidR="00B111CF" w:rsidRPr="006955ED" w:rsidRDefault="00644DB9" w:rsidP="009D00AF">
      <w:pPr>
        <w:ind w:left="100" w:right="347"/>
        <w:rPr>
          <w:rFonts w:asciiTheme="minorHAnsi" w:hAnsiTheme="minorHAnsi"/>
          <w:i/>
          <w:sz w:val="18"/>
        </w:rPr>
      </w:pPr>
      <w:r>
        <w:rPr>
          <w:rFonts w:asciiTheme="minorHAnsi" w:hAnsiTheme="minorHAnsi"/>
          <w:i/>
          <w:color w:val="231F20"/>
          <w:sz w:val="18"/>
        </w:rPr>
        <w:t>*</w:t>
      </w:r>
      <w:r w:rsidR="009D00AF" w:rsidRPr="006955ED">
        <w:rPr>
          <w:rFonts w:asciiTheme="minorHAnsi" w:hAnsiTheme="minorHAnsi"/>
          <w:i/>
          <w:color w:val="231F20"/>
          <w:sz w:val="18"/>
        </w:rPr>
        <w:t>If</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you</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were</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a</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firefighter</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serving</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before</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1</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April</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2015</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and</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a</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member</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of</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FPS</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1992</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or</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FPS2006,</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you</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may</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be</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able</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to</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continue</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paying</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into</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your</w:t>
      </w:r>
      <w:r w:rsidR="009D00AF" w:rsidRPr="006955ED">
        <w:rPr>
          <w:rFonts w:asciiTheme="minorHAnsi" w:hAnsiTheme="minorHAnsi"/>
          <w:i/>
          <w:color w:val="231F20"/>
          <w:spacing w:val="-5"/>
          <w:sz w:val="18"/>
        </w:rPr>
        <w:t xml:space="preserve"> </w:t>
      </w:r>
      <w:r w:rsidR="009D00AF" w:rsidRPr="006955ED">
        <w:rPr>
          <w:rFonts w:asciiTheme="minorHAnsi" w:hAnsiTheme="minorHAnsi"/>
          <w:i/>
          <w:color w:val="231F20"/>
          <w:sz w:val="18"/>
        </w:rPr>
        <w:t>existing scheme. Please contact your fire</w:t>
      </w:r>
      <w:r w:rsidR="009D00AF" w:rsidRPr="006955ED">
        <w:rPr>
          <w:rFonts w:asciiTheme="minorHAnsi" w:hAnsiTheme="minorHAnsi"/>
          <w:i/>
          <w:color w:val="231F20"/>
          <w:spacing w:val="-1"/>
          <w:sz w:val="18"/>
        </w:rPr>
        <w:t xml:space="preserve"> </w:t>
      </w:r>
      <w:r w:rsidR="009D00AF" w:rsidRPr="006955ED">
        <w:rPr>
          <w:rFonts w:asciiTheme="minorHAnsi" w:hAnsiTheme="minorHAnsi"/>
          <w:i/>
          <w:color w:val="231F20"/>
          <w:sz w:val="18"/>
        </w:rPr>
        <w:t>authority.</w:t>
      </w:r>
    </w:p>
    <w:sectPr w:rsidR="00B111CF" w:rsidRPr="006955ED">
      <w:pgSz w:w="11910" w:h="16840"/>
      <w:pgMar w:top="540" w:right="4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A3" w:rsidRDefault="00B417A3" w:rsidP="00B417A3">
      <w:r>
        <w:separator/>
      </w:r>
    </w:p>
  </w:endnote>
  <w:endnote w:type="continuationSeparator" w:id="0">
    <w:p w:rsidR="00B417A3" w:rsidRDefault="00B417A3" w:rsidP="00B4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 Cond">
    <w:altName w:val="Impact"/>
    <w:charset w:val="00"/>
    <w:family w:val="swiss"/>
    <w:pitch w:val="variable"/>
    <w:sig w:usb0="00000001"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A3" w:rsidRPr="008D5D59" w:rsidRDefault="00B417A3">
    <w:pPr>
      <w:pStyle w:val="Footer"/>
      <w:rPr>
        <w:rFonts w:asciiTheme="minorHAnsi" w:hAnsiTheme="minorHAnsi"/>
        <w:color w:val="BFBFBF" w:themeColor="background1" w:themeShade="BF"/>
      </w:rPr>
    </w:pPr>
    <w:r w:rsidRPr="008D5D59">
      <w:rPr>
        <w:rFonts w:asciiTheme="minorHAnsi" w:hAnsiTheme="minorHAnsi"/>
        <w:color w:val="BFBFBF" w:themeColor="background1" w:themeShade="BF"/>
      </w:rPr>
      <w:t>FPS2015 flyer v1 18/05/2018</w:t>
    </w:r>
  </w:p>
  <w:p w:rsidR="00B417A3" w:rsidRDefault="00B41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A3" w:rsidRDefault="00B417A3" w:rsidP="00B417A3">
      <w:r>
        <w:separator/>
      </w:r>
    </w:p>
  </w:footnote>
  <w:footnote w:type="continuationSeparator" w:id="0">
    <w:p w:rsidR="00B417A3" w:rsidRDefault="00B417A3" w:rsidP="00B41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01E2"/>
    <w:multiLevelType w:val="hybridMultilevel"/>
    <w:tmpl w:val="F5B23F8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7754F"/>
    <w:multiLevelType w:val="hybridMultilevel"/>
    <w:tmpl w:val="358248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5601E"/>
    <w:multiLevelType w:val="hybridMultilevel"/>
    <w:tmpl w:val="54BE9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C52C9"/>
    <w:multiLevelType w:val="hybridMultilevel"/>
    <w:tmpl w:val="5366D276"/>
    <w:lvl w:ilvl="0" w:tplc="9314D53C">
      <w:start w:val="1"/>
      <w:numFmt w:val="bullet"/>
      <w:lvlText w:val=""/>
      <w:lvlJc w:val="left"/>
      <w:pPr>
        <w:ind w:left="820" w:hanging="360"/>
      </w:pPr>
      <w:rPr>
        <w:rFonts w:ascii="Symbol" w:hAnsi="Symbol" w:hint="default"/>
        <w:color w:val="auto"/>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9E9438C"/>
    <w:multiLevelType w:val="hybridMultilevel"/>
    <w:tmpl w:val="1DE4F8F0"/>
    <w:lvl w:ilvl="0" w:tplc="BC6C14C0">
      <w:numFmt w:val="bullet"/>
      <w:lvlText w:val="•"/>
      <w:lvlJc w:val="left"/>
      <w:pPr>
        <w:ind w:left="250" w:hanging="109"/>
      </w:pPr>
      <w:rPr>
        <w:rFonts w:ascii="Myriad Pro" w:eastAsia="Myriad Pro" w:hAnsi="Myriad Pro" w:cs="Myriad Pro" w:hint="default"/>
        <w:color w:val="231F20"/>
        <w:spacing w:val="-4"/>
        <w:w w:val="100"/>
        <w:sz w:val="22"/>
        <w:szCs w:val="22"/>
        <w:lang w:val="en-GB" w:eastAsia="en-GB" w:bidi="en-GB"/>
      </w:rPr>
    </w:lvl>
    <w:lvl w:ilvl="1" w:tplc="56D2508E">
      <w:numFmt w:val="bullet"/>
      <w:lvlText w:val="•"/>
      <w:lvlJc w:val="left"/>
      <w:pPr>
        <w:ind w:left="1278" w:hanging="109"/>
      </w:pPr>
      <w:rPr>
        <w:rFonts w:hint="default"/>
        <w:lang w:val="en-GB" w:eastAsia="en-GB" w:bidi="en-GB"/>
      </w:rPr>
    </w:lvl>
    <w:lvl w:ilvl="2" w:tplc="DEE0BE10">
      <w:numFmt w:val="bullet"/>
      <w:lvlText w:val="•"/>
      <w:lvlJc w:val="left"/>
      <w:pPr>
        <w:ind w:left="2297" w:hanging="109"/>
      </w:pPr>
      <w:rPr>
        <w:rFonts w:hint="default"/>
        <w:lang w:val="en-GB" w:eastAsia="en-GB" w:bidi="en-GB"/>
      </w:rPr>
    </w:lvl>
    <w:lvl w:ilvl="3" w:tplc="F8BA7BCE">
      <w:numFmt w:val="bullet"/>
      <w:lvlText w:val="•"/>
      <w:lvlJc w:val="left"/>
      <w:pPr>
        <w:ind w:left="3315" w:hanging="109"/>
      </w:pPr>
      <w:rPr>
        <w:rFonts w:hint="default"/>
        <w:lang w:val="en-GB" w:eastAsia="en-GB" w:bidi="en-GB"/>
      </w:rPr>
    </w:lvl>
    <w:lvl w:ilvl="4" w:tplc="17F67B70">
      <w:numFmt w:val="bullet"/>
      <w:lvlText w:val="•"/>
      <w:lvlJc w:val="left"/>
      <w:pPr>
        <w:ind w:left="4334" w:hanging="109"/>
      </w:pPr>
      <w:rPr>
        <w:rFonts w:hint="default"/>
        <w:lang w:val="en-GB" w:eastAsia="en-GB" w:bidi="en-GB"/>
      </w:rPr>
    </w:lvl>
    <w:lvl w:ilvl="5" w:tplc="0D061DA4">
      <w:numFmt w:val="bullet"/>
      <w:lvlText w:val="•"/>
      <w:lvlJc w:val="left"/>
      <w:pPr>
        <w:ind w:left="5353" w:hanging="109"/>
      </w:pPr>
      <w:rPr>
        <w:rFonts w:hint="default"/>
        <w:lang w:val="en-GB" w:eastAsia="en-GB" w:bidi="en-GB"/>
      </w:rPr>
    </w:lvl>
    <w:lvl w:ilvl="6" w:tplc="940C2DEE">
      <w:numFmt w:val="bullet"/>
      <w:lvlText w:val="•"/>
      <w:lvlJc w:val="left"/>
      <w:pPr>
        <w:ind w:left="6371" w:hanging="109"/>
      </w:pPr>
      <w:rPr>
        <w:rFonts w:hint="default"/>
        <w:lang w:val="en-GB" w:eastAsia="en-GB" w:bidi="en-GB"/>
      </w:rPr>
    </w:lvl>
    <w:lvl w:ilvl="7" w:tplc="56E6380E">
      <w:numFmt w:val="bullet"/>
      <w:lvlText w:val="•"/>
      <w:lvlJc w:val="left"/>
      <w:pPr>
        <w:ind w:left="7390" w:hanging="109"/>
      </w:pPr>
      <w:rPr>
        <w:rFonts w:hint="default"/>
        <w:lang w:val="en-GB" w:eastAsia="en-GB" w:bidi="en-GB"/>
      </w:rPr>
    </w:lvl>
    <w:lvl w:ilvl="8" w:tplc="F656D354">
      <w:numFmt w:val="bullet"/>
      <w:lvlText w:val="•"/>
      <w:lvlJc w:val="left"/>
      <w:pPr>
        <w:ind w:left="8408" w:hanging="109"/>
      </w:pPr>
      <w:rPr>
        <w:rFonts w:hint="default"/>
        <w:lang w:val="en-GB" w:eastAsia="en-GB" w:bidi="en-GB"/>
      </w:rPr>
    </w:lvl>
  </w:abstractNum>
  <w:abstractNum w:abstractNumId="5" w15:restartNumberingAfterBreak="0">
    <w:nsid w:val="4E3C2C97"/>
    <w:multiLevelType w:val="hybridMultilevel"/>
    <w:tmpl w:val="B860C91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2C42990"/>
    <w:multiLevelType w:val="hybridMultilevel"/>
    <w:tmpl w:val="F33E4DEC"/>
    <w:lvl w:ilvl="0" w:tplc="08090001">
      <w:start w:val="1"/>
      <w:numFmt w:val="bullet"/>
      <w:lvlText w:val=""/>
      <w:lvlJc w:val="left"/>
      <w:pPr>
        <w:ind w:left="343" w:hanging="116"/>
      </w:pPr>
      <w:rPr>
        <w:rFonts w:ascii="Symbol" w:hAnsi="Symbol" w:hint="default"/>
        <w:b/>
        <w:bCs/>
        <w:color w:val="231F20"/>
        <w:spacing w:val="-4"/>
        <w:w w:val="99"/>
        <w:sz w:val="26"/>
        <w:szCs w:val="26"/>
        <w:lang w:val="en-GB" w:eastAsia="en-GB" w:bidi="en-GB"/>
      </w:rPr>
    </w:lvl>
    <w:lvl w:ilvl="1" w:tplc="41B2C9F2">
      <w:numFmt w:val="bullet"/>
      <w:lvlText w:val="•"/>
      <w:lvlJc w:val="left"/>
      <w:pPr>
        <w:ind w:left="686" w:hanging="116"/>
      </w:pPr>
      <w:rPr>
        <w:rFonts w:ascii="Myriad Pro Cond" w:eastAsia="Myriad Pro Cond" w:hAnsi="Myriad Pro Cond" w:cs="Myriad Pro Cond" w:hint="default"/>
        <w:b/>
        <w:bCs/>
        <w:color w:val="231F20"/>
        <w:spacing w:val="-4"/>
        <w:w w:val="100"/>
        <w:sz w:val="26"/>
        <w:szCs w:val="26"/>
        <w:lang w:val="en-GB" w:eastAsia="en-GB" w:bidi="en-GB"/>
      </w:rPr>
    </w:lvl>
    <w:lvl w:ilvl="2" w:tplc="D0DE8344">
      <w:numFmt w:val="bullet"/>
      <w:lvlText w:val="•"/>
      <w:lvlJc w:val="left"/>
      <w:pPr>
        <w:ind w:left="1805" w:hanging="116"/>
      </w:pPr>
      <w:rPr>
        <w:rFonts w:hint="default"/>
        <w:lang w:val="en-GB" w:eastAsia="en-GB" w:bidi="en-GB"/>
      </w:rPr>
    </w:lvl>
    <w:lvl w:ilvl="3" w:tplc="42C27ACE">
      <w:numFmt w:val="bullet"/>
      <w:lvlText w:val="•"/>
      <w:lvlJc w:val="left"/>
      <w:pPr>
        <w:ind w:left="2930" w:hanging="116"/>
      </w:pPr>
      <w:rPr>
        <w:rFonts w:hint="default"/>
        <w:lang w:val="en-GB" w:eastAsia="en-GB" w:bidi="en-GB"/>
      </w:rPr>
    </w:lvl>
    <w:lvl w:ilvl="4" w:tplc="9DA8BA46">
      <w:numFmt w:val="bullet"/>
      <w:lvlText w:val="•"/>
      <w:lvlJc w:val="left"/>
      <w:pPr>
        <w:ind w:left="4055" w:hanging="116"/>
      </w:pPr>
      <w:rPr>
        <w:rFonts w:hint="default"/>
        <w:lang w:val="en-GB" w:eastAsia="en-GB" w:bidi="en-GB"/>
      </w:rPr>
    </w:lvl>
    <w:lvl w:ilvl="5" w:tplc="7DD27C60">
      <w:numFmt w:val="bullet"/>
      <w:lvlText w:val="•"/>
      <w:lvlJc w:val="left"/>
      <w:pPr>
        <w:ind w:left="5180" w:hanging="116"/>
      </w:pPr>
      <w:rPr>
        <w:rFonts w:hint="default"/>
        <w:lang w:val="en-GB" w:eastAsia="en-GB" w:bidi="en-GB"/>
      </w:rPr>
    </w:lvl>
    <w:lvl w:ilvl="6" w:tplc="F52086A0">
      <w:numFmt w:val="bullet"/>
      <w:lvlText w:val="•"/>
      <w:lvlJc w:val="left"/>
      <w:pPr>
        <w:ind w:left="6305" w:hanging="116"/>
      </w:pPr>
      <w:rPr>
        <w:rFonts w:hint="default"/>
        <w:lang w:val="en-GB" w:eastAsia="en-GB" w:bidi="en-GB"/>
      </w:rPr>
    </w:lvl>
    <w:lvl w:ilvl="7" w:tplc="24042B96">
      <w:numFmt w:val="bullet"/>
      <w:lvlText w:val="•"/>
      <w:lvlJc w:val="left"/>
      <w:pPr>
        <w:ind w:left="7430" w:hanging="116"/>
      </w:pPr>
      <w:rPr>
        <w:rFonts w:hint="default"/>
        <w:lang w:val="en-GB" w:eastAsia="en-GB" w:bidi="en-GB"/>
      </w:rPr>
    </w:lvl>
    <w:lvl w:ilvl="8" w:tplc="837833A4">
      <w:numFmt w:val="bullet"/>
      <w:lvlText w:val="•"/>
      <w:lvlJc w:val="left"/>
      <w:pPr>
        <w:ind w:left="8555" w:hanging="116"/>
      </w:pPr>
      <w:rPr>
        <w:rFonts w:hint="default"/>
        <w:lang w:val="en-GB" w:eastAsia="en-GB" w:bidi="en-GB"/>
      </w:rPr>
    </w:lvl>
  </w:abstractNum>
  <w:abstractNum w:abstractNumId="7" w15:restartNumberingAfterBreak="0">
    <w:nsid w:val="76417E21"/>
    <w:multiLevelType w:val="hybridMultilevel"/>
    <w:tmpl w:val="3A0C60D0"/>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8" w15:restartNumberingAfterBreak="0">
    <w:nsid w:val="7C397929"/>
    <w:multiLevelType w:val="hybridMultilevel"/>
    <w:tmpl w:val="BC3AA980"/>
    <w:lvl w:ilvl="0" w:tplc="37D07FD6">
      <w:numFmt w:val="bullet"/>
      <w:lvlText w:val="•"/>
      <w:lvlJc w:val="left"/>
      <w:pPr>
        <w:ind w:left="215" w:hanging="116"/>
      </w:pPr>
      <w:rPr>
        <w:rFonts w:hint="default"/>
        <w:w w:val="100"/>
        <w:lang w:val="en-GB" w:eastAsia="en-GB" w:bidi="en-GB"/>
      </w:rPr>
    </w:lvl>
    <w:lvl w:ilvl="1" w:tplc="BDBEBD28">
      <w:numFmt w:val="bullet"/>
      <w:lvlText w:val="•"/>
      <w:lvlJc w:val="left"/>
      <w:pPr>
        <w:ind w:left="1278" w:hanging="116"/>
      </w:pPr>
      <w:rPr>
        <w:rFonts w:hint="default"/>
        <w:lang w:val="en-GB" w:eastAsia="en-GB" w:bidi="en-GB"/>
      </w:rPr>
    </w:lvl>
    <w:lvl w:ilvl="2" w:tplc="4B3ED89A">
      <w:numFmt w:val="bullet"/>
      <w:lvlText w:val="•"/>
      <w:lvlJc w:val="left"/>
      <w:pPr>
        <w:ind w:left="2337" w:hanging="116"/>
      </w:pPr>
      <w:rPr>
        <w:rFonts w:hint="default"/>
        <w:lang w:val="en-GB" w:eastAsia="en-GB" w:bidi="en-GB"/>
      </w:rPr>
    </w:lvl>
    <w:lvl w:ilvl="3" w:tplc="455A1C2C">
      <w:numFmt w:val="bullet"/>
      <w:lvlText w:val="•"/>
      <w:lvlJc w:val="left"/>
      <w:pPr>
        <w:ind w:left="3395" w:hanging="116"/>
      </w:pPr>
      <w:rPr>
        <w:rFonts w:hint="default"/>
        <w:lang w:val="en-GB" w:eastAsia="en-GB" w:bidi="en-GB"/>
      </w:rPr>
    </w:lvl>
    <w:lvl w:ilvl="4" w:tplc="42BED0F6">
      <w:numFmt w:val="bullet"/>
      <w:lvlText w:val="•"/>
      <w:lvlJc w:val="left"/>
      <w:pPr>
        <w:ind w:left="4454" w:hanging="116"/>
      </w:pPr>
      <w:rPr>
        <w:rFonts w:hint="default"/>
        <w:lang w:val="en-GB" w:eastAsia="en-GB" w:bidi="en-GB"/>
      </w:rPr>
    </w:lvl>
    <w:lvl w:ilvl="5" w:tplc="1D14F9F8">
      <w:numFmt w:val="bullet"/>
      <w:lvlText w:val="•"/>
      <w:lvlJc w:val="left"/>
      <w:pPr>
        <w:ind w:left="5512" w:hanging="116"/>
      </w:pPr>
      <w:rPr>
        <w:rFonts w:hint="default"/>
        <w:lang w:val="en-GB" w:eastAsia="en-GB" w:bidi="en-GB"/>
      </w:rPr>
    </w:lvl>
    <w:lvl w:ilvl="6" w:tplc="5F9650DA">
      <w:numFmt w:val="bullet"/>
      <w:lvlText w:val="•"/>
      <w:lvlJc w:val="left"/>
      <w:pPr>
        <w:ind w:left="6571" w:hanging="116"/>
      </w:pPr>
      <w:rPr>
        <w:rFonts w:hint="default"/>
        <w:lang w:val="en-GB" w:eastAsia="en-GB" w:bidi="en-GB"/>
      </w:rPr>
    </w:lvl>
    <w:lvl w:ilvl="7" w:tplc="2E9C6A02">
      <w:numFmt w:val="bullet"/>
      <w:lvlText w:val="•"/>
      <w:lvlJc w:val="left"/>
      <w:pPr>
        <w:ind w:left="7629" w:hanging="116"/>
      </w:pPr>
      <w:rPr>
        <w:rFonts w:hint="default"/>
        <w:lang w:val="en-GB" w:eastAsia="en-GB" w:bidi="en-GB"/>
      </w:rPr>
    </w:lvl>
    <w:lvl w:ilvl="8" w:tplc="4F283598">
      <w:numFmt w:val="bullet"/>
      <w:lvlText w:val="•"/>
      <w:lvlJc w:val="left"/>
      <w:pPr>
        <w:ind w:left="8688" w:hanging="116"/>
      </w:pPr>
      <w:rPr>
        <w:rFonts w:hint="default"/>
        <w:lang w:val="en-GB" w:eastAsia="en-GB" w:bidi="en-GB"/>
      </w:rPr>
    </w:lvl>
  </w:abstractNum>
  <w:num w:numId="1">
    <w:abstractNumId w:val="8"/>
  </w:num>
  <w:num w:numId="2">
    <w:abstractNumId w:val="4"/>
  </w:num>
  <w:num w:numId="3">
    <w:abstractNumId w:val="6"/>
  </w:num>
  <w:num w:numId="4">
    <w:abstractNumId w:val="2"/>
  </w:num>
  <w:num w:numId="5">
    <w:abstractNumId w:val="7"/>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CF"/>
    <w:rsid w:val="002D783E"/>
    <w:rsid w:val="004108B2"/>
    <w:rsid w:val="005B4568"/>
    <w:rsid w:val="00644DB9"/>
    <w:rsid w:val="006955ED"/>
    <w:rsid w:val="007240FC"/>
    <w:rsid w:val="008D5D59"/>
    <w:rsid w:val="009D00AF"/>
    <w:rsid w:val="00B111CF"/>
    <w:rsid w:val="00B417A3"/>
    <w:rsid w:val="00C556EE"/>
    <w:rsid w:val="00E32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375BE-C5A9-4297-8BA5-84F057E0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lang w:val="en-GB" w:eastAsia="en-GB" w:bidi="en-GB"/>
    </w:rPr>
  </w:style>
  <w:style w:type="paragraph" w:styleId="Heading1">
    <w:name w:val="heading 1"/>
    <w:basedOn w:val="Normal"/>
    <w:uiPriority w:val="1"/>
    <w:qFormat/>
    <w:pPr>
      <w:spacing w:line="768" w:lineRule="exact"/>
      <w:ind w:left="230"/>
      <w:outlineLvl w:val="0"/>
    </w:pPr>
    <w:rPr>
      <w:rFonts w:ascii="Franklin Gothic Demi Cond" w:eastAsia="Franklin Gothic Demi Cond" w:hAnsi="Franklin Gothic Demi Cond" w:cs="Franklin Gothic Demi Cond"/>
      <w:b/>
      <w:bCs/>
      <w:sz w:val="72"/>
      <w:szCs w:val="72"/>
    </w:rPr>
  </w:style>
  <w:style w:type="paragraph" w:styleId="Heading2">
    <w:name w:val="heading 2"/>
    <w:basedOn w:val="Normal"/>
    <w:uiPriority w:val="1"/>
    <w:qFormat/>
    <w:pPr>
      <w:ind w:left="230"/>
      <w:outlineLvl w:val="1"/>
    </w:pPr>
    <w:rPr>
      <w:rFonts w:ascii="Franklin Gothic Demi Cond" w:eastAsia="Franklin Gothic Demi Cond" w:hAnsi="Franklin Gothic Demi Cond" w:cs="Franklin Gothic Demi Cond"/>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yriad Pro Cond" w:eastAsia="Myriad Pro Cond" w:hAnsi="Myriad Pro Cond" w:cs="Myriad Pro Cond"/>
      <w:b/>
      <w:bCs/>
      <w:sz w:val="26"/>
      <w:szCs w:val="26"/>
    </w:rPr>
  </w:style>
  <w:style w:type="paragraph" w:styleId="ListParagraph">
    <w:name w:val="List Paragraph"/>
    <w:basedOn w:val="Normal"/>
    <w:uiPriority w:val="1"/>
    <w:qFormat/>
    <w:pPr>
      <w:spacing w:before="83"/>
      <w:ind w:left="343" w:hanging="113"/>
    </w:pPr>
    <w:rPr>
      <w:rFonts w:ascii="Myriad Pro Cond" w:eastAsia="Myriad Pro Cond" w:hAnsi="Myriad Pro Cond" w:cs="Myriad Pro Cond"/>
    </w:rPr>
  </w:style>
  <w:style w:type="paragraph" w:customStyle="1" w:styleId="TableParagraph">
    <w:name w:val="Table Paragraph"/>
    <w:basedOn w:val="Normal"/>
    <w:uiPriority w:val="1"/>
    <w:qFormat/>
    <w:pPr>
      <w:spacing w:before="68"/>
      <w:ind w:left="141"/>
    </w:pPr>
  </w:style>
  <w:style w:type="character" w:styleId="Hyperlink">
    <w:name w:val="Hyperlink"/>
    <w:uiPriority w:val="99"/>
    <w:unhideWhenUsed/>
    <w:rsid w:val="004108B2"/>
    <w:rPr>
      <w:color w:val="0000FF"/>
      <w:u w:val="single"/>
    </w:rPr>
  </w:style>
  <w:style w:type="character" w:styleId="FollowedHyperlink">
    <w:name w:val="FollowedHyperlink"/>
    <w:basedOn w:val="DefaultParagraphFont"/>
    <w:uiPriority w:val="99"/>
    <w:semiHidden/>
    <w:unhideWhenUsed/>
    <w:rsid w:val="004108B2"/>
    <w:rPr>
      <w:color w:val="800080" w:themeColor="followedHyperlink"/>
      <w:u w:val="single"/>
    </w:rPr>
  </w:style>
  <w:style w:type="paragraph" w:styleId="Header">
    <w:name w:val="header"/>
    <w:basedOn w:val="Normal"/>
    <w:link w:val="HeaderChar"/>
    <w:uiPriority w:val="99"/>
    <w:unhideWhenUsed/>
    <w:rsid w:val="00B417A3"/>
    <w:pPr>
      <w:tabs>
        <w:tab w:val="center" w:pos="4513"/>
        <w:tab w:val="right" w:pos="9026"/>
      </w:tabs>
    </w:pPr>
  </w:style>
  <w:style w:type="character" w:customStyle="1" w:styleId="HeaderChar">
    <w:name w:val="Header Char"/>
    <w:basedOn w:val="DefaultParagraphFont"/>
    <w:link w:val="Header"/>
    <w:uiPriority w:val="99"/>
    <w:rsid w:val="00B417A3"/>
    <w:rPr>
      <w:rFonts w:ascii="Myriad Pro" w:eastAsia="Myriad Pro" w:hAnsi="Myriad Pro" w:cs="Myriad Pro"/>
      <w:lang w:val="en-GB" w:eastAsia="en-GB" w:bidi="en-GB"/>
    </w:rPr>
  </w:style>
  <w:style w:type="paragraph" w:styleId="Footer">
    <w:name w:val="footer"/>
    <w:basedOn w:val="Normal"/>
    <w:link w:val="FooterChar"/>
    <w:uiPriority w:val="99"/>
    <w:unhideWhenUsed/>
    <w:rsid w:val="00B417A3"/>
    <w:pPr>
      <w:tabs>
        <w:tab w:val="center" w:pos="4513"/>
        <w:tab w:val="right" w:pos="9026"/>
      </w:tabs>
    </w:pPr>
  </w:style>
  <w:style w:type="character" w:customStyle="1" w:styleId="FooterChar">
    <w:name w:val="Footer Char"/>
    <w:basedOn w:val="DefaultParagraphFont"/>
    <w:link w:val="Footer"/>
    <w:uiPriority w:val="99"/>
    <w:rsid w:val="00B417A3"/>
    <w:rPr>
      <w:rFonts w:ascii="Myriad Pro" w:eastAsia="Myriad Pro" w:hAnsi="Myriad Pro" w:cs="Myriad Pro"/>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pensionsregulator.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ensionsadvisoryserv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sions-ombudsman.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44F18FA1</Template>
  <TotalTime>19</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Duncombe</dc:creator>
  <cp:lastModifiedBy>Claire Hey</cp:lastModifiedBy>
  <cp:revision>6</cp:revision>
  <cp:lastPrinted>2018-05-18T09:58:00Z</cp:lastPrinted>
  <dcterms:created xsi:type="dcterms:W3CDTF">2018-04-25T16:18:00Z</dcterms:created>
  <dcterms:modified xsi:type="dcterms:W3CDTF">2018-05-18T09:58:00Z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Adobe InDesign CC 13.1 (Windows)</vt:lpwstr>
  </property>
  <property fmtid="{D5CDD505-2E9C-101B-9397-08002B2CF9AE}" pid="4" name="LastSaved">
    <vt:filetime>2018-03-23T00:00:00Z</vt:filetime>
  </property>
</Properties>
</file>