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9403D4" w14:textId="21E11CB7" w:rsidR="00B46107" w:rsidRDefault="00CD5871" w:rsidP="00316485">
      <w:pPr>
        <w:rPr>
          <w:b/>
          <w:sz w:val="32"/>
          <w:szCs w:val="32"/>
        </w:rPr>
      </w:pPr>
      <w:r>
        <w:rPr>
          <w:b/>
          <w:noProof/>
          <w:sz w:val="32"/>
          <w:szCs w:val="32"/>
          <w:lang w:eastAsia="en-GB"/>
        </w:rPr>
        <w:drawing>
          <wp:inline distT="0" distB="0" distL="0" distR="0" wp14:anchorId="6FC1F44A" wp14:editId="697923C0">
            <wp:extent cx="2981325" cy="902335"/>
            <wp:effectExtent l="0" t="0" r="9525" b="0"/>
            <wp:docPr id="1" name="Picture 1" descr="Logo - Firefighters' Pensions England Scheme Advisory Board&#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 Firefighters' Pensions England Scheme Advisory Board&#1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81325" cy="902335"/>
                    </a:xfrm>
                    <a:prstGeom prst="rect">
                      <a:avLst/>
                    </a:prstGeom>
                    <a:noFill/>
                  </pic:spPr>
                </pic:pic>
              </a:graphicData>
            </a:graphic>
          </wp:inline>
        </w:drawing>
      </w:r>
      <w:r>
        <w:rPr>
          <w:b/>
          <w:sz w:val="32"/>
          <w:szCs w:val="32"/>
        </w:rPr>
        <w:t xml:space="preserve">                                   </w:t>
      </w:r>
      <w:r>
        <w:rPr>
          <w:b/>
          <w:noProof/>
          <w:sz w:val="32"/>
          <w:szCs w:val="32"/>
          <w:lang w:eastAsia="en-GB"/>
        </w:rPr>
        <w:drawing>
          <wp:inline distT="0" distB="0" distL="0" distR="0" wp14:anchorId="003A28AD" wp14:editId="7FBE372C">
            <wp:extent cx="1298575" cy="792480"/>
            <wp:effectExtent l="0" t="0" r="0" b="7620"/>
            <wp:docPr id="2" name="Picture 2" descr="Logo - Local Government Associ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 Local Government Association"/>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98575" cy="792480"/>
                    </a:xfrm>
                    <a:prstGeom prst="rect">
                      <a:avLst/>
                    </a:prstGeom>
                    <a:noFill/>
                  </pic:spPr>
                </pic:pic>
              </a:graphicData>
            </a:graphic>
          </wp:inline>
        </w:drawing>
      </w:r>
    </w:p>
    <w:p w14:paraId="1263B9C1" w14:textId="227E940A" w:rsidR="00CD5871" w:rsidRDefault="00CD5871" w:rsidP="00CD5871">
      <w:pPr>
        <w:spacing w:after="160" w:line="259" w:lineRule="auto"/>
        <w:rPr>
          <w:rFonts w:ascii="Impact" w:eastAsia="Calibri" w:hAnsi="Impact" w:cs="Impact"/>
          <w:color w:val="244B9A"/>
          <w:sz w:val="38"/>
          <w:szCs w:val="38"/>
        </w:rPr>
      </w:pPr>
      <w:r w:rsidRPr="00CD5871">
        <w:rPr>
          <w:rFonts w:ascii="Calibri" w:eastAsia="Calibri" w:hAnsi="Calibri" w:cs="Times New Roman"/>
          <w:noProof/>
          <w:lang w:eastAsia="en-GB"/>
        </w:rPr>
        <w:drawing>
          <wp:inline distT="0" distB="0" distL="0" distR="0" wp14:anchorId="2B3AB0FF" wp14:editId="3F577E82">
            <wp:extent cx="215349" cy="215349"/>
            <wp:effectExtent l="0" t="0" r="0" b="0"/>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41668" cy="241668"/>
                    </a:xfrm>
                    <a:prstGeom prst="rect">
                      <a:avLst/>
                    </a:prstGeom>
                    <a:noFill/>
                    <a:ln>
                      <a:noFill/>
                    </a:ln>
                  </pic:spPr>
                </pic:pic>
              </a:graphicData>
            </a:graphic>
          </wp:inline>
        </w:drawing>
      </w:r>
      <w:r w:rsidRPr="00CD5871">
        <w:rPr>
          <w:rFonts w:ascii="Calibri" w:eastAsia="Calibri" w:hAnsi="Calibri" w:cs="Times New Roman"/>
        </w:rPr>
        <w:t xml:space="preserve"> </w:t>
      </w:r>
      <w:r w:rsidRPr="00CD5871">
        <w:rPr>
          <w:rFonts w:ascii="Impact" w:eastAsia="Calibri" w:hAnsi="Impact" w:cs="Impact"/>
          <w:color w:val="244B9A"/>
          <w:sz w:val="38"/>
          <w:szCs w:val="38"/>
        </w:rPr>
        <w:t>Compliance</w:t>
      </w:r>
    </w:p>
    <w:p w14:paraId="2EC6D232" w14:textId="3AF00BD4" w:rsidR="006D379F" w:rsidRDefault="006D379F">
      <w:pPr>
        <w:pStyle w:val="Title"/>
      </w:pPr>
      <w:r w:rsidRPr="006D379F">
        <w:t>FPS Administration, Management, and Governance Strategy</w:t>
      </w:r>
    </w:p>
    <w:p w14:paraId="26028D86" w14:textId="7BAC6A2E" w:rsidR="006952F8" w:rsidRPr="00316485" w:rsidRDefault="006952F8" w:rsidP="00316485">
      <w:pPr>
        <w:rPr>
          <w:b/>
          <w:bCs/>
        </w:rPr>
      </w:pPr>
      <w:r w:rsidRPr="00316485">
        <w:rPr>
          <w:b/>
          <w:bCs/>
        </w:rPr>
        <w:t>Contents</w:t>
      </w:r>
    </w:p>
    <w:sdt>
      <w:sdtPr>
        <w:id w:val="2091807800"/>
        <w:docPartObj>
          <w:docPartGallery w:val="Table of Contents"/>
          <w:docPartUnique/>
        </w:docPartObj>
      </w:sdtPr>
      <w:sdtEndPr>
        <w:rPr>
          <w:b w:val="0"/>
          <w:bCs/>
          <w:noProof/>
        </w:rPr>
      </w:sdtEndPr>
      <w:sdtContent>
        <w:p w14:paraId="080DEFC1" w14:textId="3CCF6D25" w:rsidR="0001294F" w:rsidRDefault="00302899">
          <w:pPr>
            <w:pStyle w:val="TOC1"/>
            <w:rPr>
              <w:rFonts w:asciiTheme="minorHAnsi" w:eastAsiaTheme="minorEastAsia" w:hAnsiTheme="minorHAnsi"/>
              <w:b w:val="0"/>
              <w:noProof/>
              <w:lang w:eastAsia="en-GB"/>
            </w:rPr>
          </w:pPr>
          <w:r>
            <w:fldChar w:fldCharType="begin"/>
          </w:r>
          <w:r>
            <w:instrText xml:space="preserve"> TOC \o "2-3" \h \z \t "Heading 1,1" </w:instrText>
          </w:r>
          <w:r>
            <w:fldChar w:fldCharType="separate"/>
          </w:r>
          <w:hyperlink w:anchor="_Toc75332384" w:history="1">
            <w:r w:rsidR="0001294F" w:rsidRPr="00545A13">
              <w:rPr>
                <w:rStyle w:val="Hyperlink"/>
                <w:noProof/>
              </w:rPr>
              <w:t>1</w:t>
            </w:r>
            <w:r w:rsidR="0001294F">
              <w:rPr>
                <w:rFonts w:asciiTheme="minorHAnsi" w:eastAsiaTheme="minorEastAsia" w:hAnsiTheme="minorHAnsi"/>
                <w:b w:val="0"/>
                <w:noProof/>
                <w:lang w:eastAsia="en-GB"/>
              </w:rPr>
              <w:tab/>
            </w:r>
            <w:r w:rsidR="0001294F" w:rsidRPr="00545A13">
              <w:rPr>
                <w:rStyle w:val="Hyperlink"/>
                <w:noProof/>
              </w:rPr>
              <w:t>Background</w:t>
            </w:r>
            <w:r w:rsidR="0001294F">
              <w:rPr>
                <w:noProof/>
                <w:webHidden/>
              </w:rPr>
              <w:tab/>
            </w:r>
            <w:r w:rsidR="0001294F">
              <w:rPr>
                <w:noProof/>
                <w:webHidden/>
              </w:rPr>
              <w:fldChar w:fldCharType="begin"/>
            </w:r>
            <w:r w:rsidR="0001294F">
              <w:rPr>
                <w:noProof/>
                <w:webHidden/>
              </w:rPr>
              <w:instrText xml:space="preserve"> PAGEREF _Toc75332384 \h </w:instrText>
            </w:r>
            <w:r w:rsidR="0001294F">
              <w:rPr>
                <w:noProof/>
                <w:webHidden/>
              </w:rPr>
            </w:r>
            <w:r w:rsidR="0001294F">
              <w:rPr>
                <w:noProof/>
                <w:webHidden/>
              </w:rPr>
              <w:fldChar w:fldCharType="separate"/>
            </w:r>
            <w:r w:rsidR="0008663E">
              <w:rPr>
                <w:noProof/>
                <w:webHidden/>
              </w:rPr>
              <w:t>2</w:t>
            </w:r>
            <w:r w:rsidR="0001294F">
              <w:rPr>
                <w:noProof/>
                <w:webHidden/>
              </w:rPr>
              <w:fldChar w:fldCharType="end"/>
            </w:r>
          </w:hyperlink>
        </w:p>
        <w:p w14:paraId="19B36DDF" w14:textId="1B9832C7" w:rsidR="0001294F" w:rsidRDefault="004F2AA8">
          <w:pPr>
            <w:pStyle w:val="TOC1"/>
            <w:rPr>
              <w:rFonts w:asciiTheme="minorHAnsi" w:eastAsiaTheme="minorEastAsia" w:hAnsiTheme="minorHAnsi"/>
              <w:b w:val="0"/>
              <w:noProof/>
              <w:lang w:eastAsia="en-GB"/>
            </w:rPr>
          </w:pPr>
          <w:hyperlink w:anchor="_Toc75332385" w:history="1">
            <w:r w:rsidR="0001294F" w:rsidRPr="00545A13">
              <w:rPr>
                <w:rStyle w:val="Hyperlink"/>
                <w:noProof/>
              </w:rPr>
              <w:t>2</w:t>
            </w:r>
            <w:r w:rsidR="0001294F">
              <w:rPr>
                <w:rFonts w:asciiTheme="minorHAnsi" w:eastAsiaTheme="minorEastAsia" w:hAnsiTheme="minorHAnsi"/>
                <w:b w:val="0"/>
                <w:noProof/>
                <w:lang w:eastAsia="en-GB"/>
              </w:rPr>
              <w:tab/>
            </w:r>
            <w:r w:rsidR="0001294F" w:rsidRPr="00545A13">
              <w:rPr>
                <w:rStyle w:val="Hyperlink"/>
                <w:noProof/>
              </w:rPr>
              <w:t>Introduction</w:t>
            </w:r>
            <w:r w:rsidR="0001294F">
              <w:rPr>
                <w:noProof/>
                <w:webHidden/>
              </w:rPr>
              <w:tab/>
            </w:r>
            <w:r w:rsidR="0001294F">
              <w:rPr>
                <w:noProof/>
                <w:webHidden/>
              </w:rPr>
              <w:fldChar w:fldCharType="begin"/>
            </w:r>
            <w:r w:rsidR="0001294F">
              <w:rPr>
                <w:noProof/>
                <w:webHidden/>
              </w:rPr>
              <w:instrText xml:space="preserve"> PAGEREF _Toc75332385 \h </w:instrText>
            </w:r>
            <w:r w:rsidR="0001294F">
              <w:rPr>
                <w:noProof/>
                <w:webHidden/>
              </w:rPr>
            </w:r>
            <w:r w:rsidR="0001294F">
              <w:rPr>
                <w:noProof/>
                <w:webHidden/>
              </w:rPr>
              <w:fldChar w:fldCharType="separate"/>
            </w:r>
            <w:r w:rsidR="0008663E">
              <w:rPr>
                <w:noProof/>
                <w:webHidden/>
              </w:rPr>
              <w:t>3</w:t>
            </w:r>
            <w:r w:rsidR="0001294F">
              <w:rPr>
                <w:noProof/>
                <w:webHidden/>
              </w:rPr>
              <w:fldChar w:fldCharType="end"/>
            </w:r>
          </w:hyperlink>
        </w:p>
        <w:p w14:paraId="138AC4AE" w14:textId="21DE56D1" w:rsidR="0001294F" w:rsidRDefault="004F2AA8">
          <w:pPr>
            <w:pStyle w:val="TOC1"/>
            <w:rPr>
              <w:rFonts w:asciiTheme="minorHAnsi" w:eastAsiaTheme="minorEastAsia" w:hAnsiTheme="minorHAnsi"/>
              <w:b w:val="0"/>
              <w:noProof/>
              <w:lang w:eastAsia="en-GB"/>
            </w:rPr>
          </w:pPr>
          <w:hyperlink w:anchor="_Toc75332386" w:history="1">
            <w:r w:rsidR="0001294F" w:rsidRPr="00545A13">
              <w:rPr>
                <w:rStyle w:val="Hyperlink"/>
                <w:noProof/>
              </w:rPr>
              <w:t>3</w:t>
            </w:r>
            <w:r w:rsidR="0001294F">
              <w:rPr>
                <w:rFonts w:asciiTheme="minorHAnsi" w:eastAsiaTheme="minorEastAsia" w:hAnsiTheme="minorHAnsi"/>
                <w:b w:val="0"/>
                <w:noProof/>
                <w:lang w:eastAsia="en-GB"/>
              </w:rPr>
              <w:tab/>
            </w:r>
            <w:r w:rsidR="0001294F" w:rsidRPr="00545A13">
              <w:rPr>
                <w:rStyle w:val="Hyperlink"/>
                <w:noProof/>
              </w:rPr>
              <w:t>Compliance</w:t>
            </w:r>
            <w:r w:rsidR="0001294F">
              <w:rPr>
                <w:noProof/>
                <w:webHidden/>
              </w:rPr>
              <w:tab/>
            </w:r>
            <w:r w:rsidR="0001294F">
              <w:rPr>
                <w:noProof/>
                <w:webHidden/>
              </w:rPr>
              <w:fldChar w:fldCharType="begin"/>
            </w:r>
            <w:r w:rsidR="0001294F">
              <w:rPr>
                <w:noProof/>
                <w:webHidden/>
              </w:rPr>
              <w:instrText xml:space="preserve"> PAGEREF _Toc75332386 \h </w:instrText>
            </w:r>
            <w:r w:rsidR="0001294F">
              <w:rPr>
                <w:noProof/>
                <w:webHidden/>
              </w:rPr>
            </w:r>
            <w:r w:rsidR="0001294F">
              <w:rPr>
                <w:noProof/>
                <w:webHidden/>
              </w:rPr>
              <w:fldChar w:fldCharType="separate"/>
            </w:r>
            <w:r w:rsidR="0008663E">
              <w:rPr>
                <w:noProof/>
                <w:webHidden/>
              </w:rPr>
              <w:t>3</w:t>
            </w:r>
            <w:r w:rsidR="0001294F">
              <w:rPr>
                <w:noProof/>
                <w:webHidden/>
              </w:rPr>
              <w:fldChar w:fldCharType="end"/>
            </w:r>
          </w:hyperlink>
        </w:p>
        <w:p w14:paraId="4DA7F152" w14:textId="1555E30C" w:rsidR="0001294F" w:rsidRDefault="004F2AA8">
          <w:pPr>
            <w:pStyle w:val="TOC1"/>
            <w:rPr>
              <w:rFonts w:asciiTheme="minorHAnsi" w:eastAsiaTheme="minorEastAsia" w:hAnsiTheme="minorHAnsi"/>
              <w:b w:val="0"/>
              <w:noProof/>
              <w:lang w:eastAsia="en-GB"/>
            </w:rPr>
          </w:pPr>
          <w:hyperlink w:anchor="_Toc75332387" w:history="1">
            <w:r w:rsidR="0001294F" w:rsidRPr="00545A13">
              <w:rPr>
                <w:rStyle w:val="Hyperlink"/>
                <w:noProof/>
              </w:rPr>
              <w:t>4</w:t>
            </w:r>
            <w:r w:rsidR="0001294F">
              <w:rPr>
                <w:rFonts w:asciiTheme="minorHAnsi" w:eastAsiaTheme="minorEastAsia" w:hAnsiTheme="minorHAnsi"/>
                <w:b w:val="0"/>
                <w:noProof/>
                <w:lang w:eastAsia="en-GB"/>
              </w:rPr>
              <w:tab/>
            </w:r>
            <w:r w:rsidR="0001294F" w:rsidRPr="00545A13">
              <w:rPr>
                <w:rStyle w:val="Hyperlink"/>
                <w:noProof/>
              </w:rPr>
              <w:t>Review</w:t>
            </w:r>
            <w:r w:rsidR="0001294F">
              <w:rPr>
                <w:noProof/>
                <w:webHidden/>
              </w:rPr>
              <w:tab/>
            </w:r>
            <w:r w:rsidR="0001294F">
              <w:rPr>
                <w:noProof/>
                <w:webHidden/>
              </w:rPr>
              <w:fldChar w:fldCharType="begin"/>
            </w:r>
            <w:r w:rsidR="0001294F">
              <w:rPr>
                <w:noProof/>
                <w:webHidden/>
              </w:rPr>
              <w:instrText xml:space="preserve"> PAGEREF _Toc75332387 \h </w:instrText>
            </w:r>
            <w:r w:rsidR="0001294F">
              <w:rPr>
                <w:noProof/>
                <w:webHidden/>
              </w:rPr>
            </w:r>
            <w:r w:rsidR="0001294F">
              <w:rPr>
                <w:noProof/>
                <w:webHidden/>
              </w:rPr>
              <w:fldChar w:fldCharType="separate"/>
            </w:r>
            <w:r w:rsidR="0008663E">
              <w:rPr>
                <w:noProof/>
                <w:webHidden/>
              </w:rPr>
              <w:t>4</w:t>
            </w:r>
            <w:r w:rsidR="0001294F">
              <w:rPr>
                <w:noProof/>
                <w:webHidden/>
              </w:rPr>
              <w:fldChar w:fldCharType="end"/>
            </w:r>
          </w:hyperlink>
        </w:p>
        <w:p w14:paraId="3EE1B3C7" w14:textId="0D7D6229" w:rsidR="0001294F" w:rsidRDefault="004F2AA8">
          <w:pPr>
            <w:pStyle w:val="TOC1"/>
            <w:rPr>
              <w:rFonts w:asciiTheme="minorHAnsi" w:eastAsiaTheme="minorEastAsia" w:hAnsiTheme="minorHAnsi"/>
              <w:b w:val="0"/>
              <w:noProof/>
              <w:lang w:eastAsia="en-GB"/>
            </w:rPr>
          </w:pPr>
          <w:hyperlink w:anchor="_Toc75332388" w:history="1">
            <w:r w:rsidR="0001294F" w:rsidRPr="00545A13">
              <w:rPr>
                <w:rStyle w:val="Hyperlink"/>
                <w:noProof/>
              </w:rPr>
              <w:t>5</w:t>
            </w:r>
            <w:r w:rsidR="0001294F">
              <w:rPr>
                <w:rFonts w:asciiTheme="minorHAnsi" w:eastAsiaTheme="minorEastAsia" w:hAnsiTheme="minorHAnsi"/>
                <w:b w:val="0"/>
                <w:noProof/>
                <w:lang w:eastAsia="en-GB"/>
              </w:rPr>
              <w:tab/>
            </w:r>
            <w:r w:rsidR="0001294F" w:rsidRPr="00545A13">
              <w:rPr>
                <w:rStyle w:val="Hyperlink"/>
                <w:noProof/>
              </w:rPr>
              <w:t>Liaison and communication</w:t>
            </w:r>
            <w:r w:rsidR="0001294F">
              <w:rPr>
                <w:noProof/>
                <w:webHidden/>
              </w:rPr>
              <w:tab/>
            </w:r>
            <w:r w:rsidR="0001294F">
              <w:rPr>
                <w:noProof/>
                <w:webHidden/>
              </w:rPr>
              <w:fldChar w:fldCharType="begin"/>
            </w:r>
            <w:r w:rsidR="0001294F">
              <w:rPr>
                <w:noProof/>
                <w:webHidden/>
              </w:rPr>
              <w:instrText xml:space="preserve"> PAGEREF _Toc75332388 \h </w:instrText>
            </w:r>
            <w:r w:rsidR="0001294F">
              <w:rPr>
                <w:noProof/>
                <w:webHidden/>
              </w:rPr>
            </w:r>
            <w:r w:rsidR="0001294F">
              <w:rPr>
                <w:noProof/>
                <w:webHidden/>
              </w:rPr>
              <w:fldChar w:fldCharType="separate"/>
            </w:r>
            <w:r w:rsidR="0008663E">
              <w:rPr>
                <w:noProof/>
                <w:webHidden/>
              </w:rPr>
              <w:t>4</w:t>
            </w:r>
            <w:r w:rsidR="0001294F">
              <w:rPr>
                <w:noProof/>
                <w:webHidden/>
              </w:rPr>
              <w:fldChar w:fldCharType="end"/>
            </w:r>
          </w:hyperlink>
        </w:p>
        <w:p w14:paraId="73BA9CBA" w14:textId="6906FDA9" w:rsidR="0001294F" w:rsidRDefault="004F2AA8">
          <w:pPr>
            <w:pStyle w:val="TOC2"/>
            <w:rPr>
              <w:rFonts w:asciiTheme="minorHAnsi" w:eastAsiaTheme="minorEastAsia" w:hAnsiTheme="minorHAnsi"/>
              <w:noProof/>
              <w:lang w:eastAsia="en-GB"/>
            </w:rPr>
          </w:pPr>
          <w:hyperlink w:anchor="_Toc75332389" w:history="1">
            <w:r w:rsidR="0001294F" w:rsidRPr="00545A13">
              <w:rPr>
                <w:rStyle w:val="Hyperlink"/>
                <w:noProof/>
              </w:rPr>
              <w:t>5.1 FRA contacts</w:t>
            </w:r>
            <w:r w:rsidR="0001294F">
              <w:rPr>
                <w:noProof/>
                <w:webHidden/>
              </w:rPr>
              <w:tab/>
            </w:r>
            <w:r w:rsidR="0001294F">
              <w:rPr>
                <w:noProof/>
                <w:webHidden/>
              </w:rPr>
              <w:fldChar w:fldCharType="begin"/>
            </w:r>
            <w:r w:rsidR="0001294F">
              <w:rPr>
                <w:noProof/>
                <w:webHidden/>
              </w:rPr>
              <w:instrText xml:space="preserve"> PAGEREF _Toc75332389 \h </w:instrText>
            </w:r>
            <w:r w:rsidR="0001294F">
              <w:rPr>
                <w:noProof/>
                <w:webHidden/>
              </w:rPr>
            </w:r>
            <w:r w:rsidR="0001294F">
              <w:rPr>
                <w:noProof/>
                <w:webHidden/>
              </w:rPr>
              <w:fldChar w:fldCharType="separate"/>
            </w:r>
            <w:r w:rsidR="0008663E">
              <w:rPr>
                <w:noProof/>
                <w:webHidden/>
              </w:rPr>
              <w:t>4</w:t>
            </w:r>
            <w:r w:rsidR="0001294F">
              <w:rPr>
                <w:noProof/>
                <w:webHidden/>
              </w:rPr>
              <w:fldChar w:fldCharType="end"/>
            </w:r>
          </w:hyperlink>
        </w:p>
        <w:p w14:paraId="591B77B1" w14:textId="4310BF41" w:rsidR="0001294F" w:rsidRDefault="004F2AA8">
          <w:pPr>
            <w:pStyle w:val="TOC2"/>
            <w:rPr>
              <w:rFonts w:asciiTheme="minorHAnsi" w:eastAsiaTheme="minorEastAsia" w:hAnsiTheme="minorHAnsi"/>
              <w:noProof/>
              <w:lang w:eastAsia="en-GB"/>
            </w:rPr>
          </w:pPr>
          <w:hyperlink w:anchor="_Toc75332390" w:history="1">
            <w:r w:rsidR="0001294F" w:rsidRPr="00545A13">
              <w:rPr>
                <w:rStyle w:val="Hyperlink"/>
                <w:noProof/>
              </w:rPr>
              <w:t>5.2 Administrator contacts</w:t>
            </w:r>
            <w:r w:rsidR="0001294F">
              <w:rPr>
                <w:noProof/>
                <w:webHidden/>
              </w:rPr>
              <w:tab/>
            </w:r>
            <w:r w:rsidR="0001294F">
              <w:rPr>
                <w:noProof/>
                <w:webHidden/>
              </w:rPr>
              <w:fldChar w:fldCharType="begin"/>
            </w:r>
            <w:r w:rsidR="0001294F">
              <w:rPr>
                <w:noProof/>
                <w:webHidden/>
              </w:rPr>
              <w:instrText xml:space="preserve"> PAGEREF _Toc75332390 \h </w:instrText>
            </w:r>
            <w:r w:rsidR="0001294F">
              <w:rPr>
                <w:noProof/>
                <w:webHidden/>
              </w:rPr>
            </w:r>
            <w:r w:rsidR="0001294F">
              <w:rPr>
                <w:noProof/>
                <w:webHidden/>
              </w:rPr>
              <w:fldChar w:fldCharType="separate"/>
            </w:r>
            <w:r w:rsidR="0008663E">
              <w:rPr>
                <w:noProof/>
                <w:webHidden/>
              </w:rPr>
              <w:t>5</w:t>
            </w:r>
            <w:r w:rsidR="0001294F">
              <w:rPr>
                <w:noProof/>
                <w:webHidden/>
              </w:rPr>
              <w:fldChar w:fldCharType="end"/>
            </w:r>
          </w:hyperlink>
        </w:p>
        <w:p w14:paraId="0DCB9F57" w14:textId="0C565A8F" w:rsidR="0001294F" w:rsidRDefault="004F2AA8">
          <w:pPr>
            <w:pStyle w:val="TOC1"/>
            <w:rPr>
              <w:rFonts w:asciiTheme="minorHAnsi" w:eastAsiaTheme="minorEastAsia" w:hAnsiTheme="minorHAnsi"/>
              <w:b w:val="0"/>
              <w:noProof/>
              <w:lang w:eastAsia="en-GB"/>
            </w:rPr>
          </w:pPr>
          <w:hyperlink w:anchor="_Toc75332391" w:history="1">
            <w:r w:rsidR="0001294F" w:rsidRPr="00545A13">
              <w:rPr>
                <w:rStyle w:val="Hyperlink"/>
                <w:noProof/>
              </w:rPr>
              <w:t>6</w:t>
            </w:r>
            <w:r w:rsidR="0001294F">
              <w:rPr>
                <w:rFonts w:asciiTheme="minorHAnsi" w:eastAsiaTheme="minorEastAsia" w:hAnsiTheme="minorHAnsi"/>
                <w:b w:val="0"/>
                <w:noProof/>
                <w:lang w:eastAsia="en-GB"/>
              </w:rPr>
              <w:tab/>
            </w:r>
            <w:r w:rsidR="0001294F" w:rsidRPr="00545A13">
              <w:rPr>
                <w:rStyle w:val="Hyperlink"/>
                <w:noProof/>
              </w:rPr>
              <w:t>Scheme manager duties and responsibilities</w:t>
            </w:r>
            <w:r w:rsidR="0001294F">
              <w:rPr>
                <w:noProof/>
                <w:webHidden/>
              </w:rPr>
              <w:tab/>
            </w:r>
            <w:r w:rsidR="0001294F">
              <w:rPr>
                <w:noProof/>
                <w:webHidden/>
              </w:rPr>
              <w:fldChar w:fldCharType="begin"/>
            </w:r>
            <w:r w:rsidR="0001294F">
              <w:rPr>
                <w:noProof/>
                <w:webHidden/>
              </w:rPr>
              <w:instrText xml:space="preserve"> PAGEREF _Toc75332391 \h </w:instrText>
            </w:r>
            <w:r w:rsidR="0001294F">
              <w:rPr>
                <w:noProof/>
                <w:webHidden/>
              </w:rPr>
            </w:r>
            <w:r w:rsidR="0001294F">
              <w:rPr>
                <w:noProof/>
                <w:webHidden/>
              </w:rPr>
              <w:fldChar w:fldCharType="separate"/>
            </w:r>
            <w:r w:rsidR="0008663E">
              <w:rPr>
                <w:noProof/>
                <w:webHidden/>
              </w:rPr>
              <w:t>5</w:t>
            </w:r>
            <w:r w:rsidR="0001294F">
              <w:rPr>
                <w:noProof/>
                <w:webHidden/>
              </w:rPr>
              <w:fldChar w:fldCharType="end"/>
            </w:r>
          </w:hyperlink>
        </w:p>
        <w:p w14:paraId="57AC7E82" w14:textId="55A5F05F" w:rsidR="0001294F" w:rsidRDefault="004F2AA8">
          <w:pPr>
            <w:pStyle w:val="TOC2"/>
            <w:rPr>
              <w:rFonts w:asciiTheme="minorHAnsi" w:eastAsiaTheme="minorEastAsia" w:hAnsiTheme="minorHAnsi"/>
              <w:noProof/>
              <w:lang w:eastAsia="en-GB"/>
            </w:rPr>
          </w:pPr>
          <w:hyperlink w:anchor="_Toc75332392" w:history="1">
            <w:r w:rsidR="0001294F" w:rsidRPr="00545A13">
              <w:rPr>
                <w:rStyle w:val="Hyperlink"/>
                <w:noProof/>
              </w:rPr>
              <w:t>6.1 Discretions</w:t>
            </w:r>
            <w:r w:rsidR="0001294F">
              <w:rPr>
                <w:noProof/>
                <w:webHidden/>
              </w:rPr>
              <w:tab/>
            </w:r>
            <w:r w:rsidR="0001294F">
              <w:rPr>
                <w:noProof/>
                <w:webHidden/>
              </w:rPr>
              <w:fldChar w:fldCharType="begin"/>
            </w:r>
            <w:r w:rsidR="0001294F">
              <w:rPr>
                <w:noProof/>
                <w:webHidden/>
              </w:rPr>
              <w:instrText xml:space="preserve"> PAGEREF _Toc75332392 \h </w:instrText>
            </w:r>
            <w:r w:rsidR="0001294F">
              <w:rPr>
                <w:noProof/>
                <w:webHidden/>
              </w:rPr>
            </w:r>
            <w:r w:rsidR="0001294F">
              <w:rPr>
                <w:noProof/>
                <w:webHidden/>
              </w:rPr>
              <w:fldChar w:fldCharType="separate"/>
            </w:r>
            <w:r w:rsidR="0008663E">
              <w:rPr>
                <w:noProof/>
                <w:webHidden/>
              </w:rPr>
              <w:t>5</w:t>
            </w:r>
            <w:r w:rsidR="0001294F">
              <w:rPr>
                <w:noProof/>
                <w:webHidden/>
              </w:rPr>
              <w:fldChar w:fldCharType="end"/>
            </w:r>
          </w:hyperlink>
        </w:p>
        <w:p w14:paraId="0F7E1A05" w14:textId="3D9B401D" w:rsidR="0001294F" w:rsidRDefault="004F2AA8">
          <w:pPr>
            <w:pStyle w:val="TOC2"/>
            <w:rPr>
              <w:rFonts w:asciiTheme="minorHAnsi" w:eastAsiaTheme="minorEastAsia" w:hAnsiTheme="minorHAnsi"/>
              <w:noProof/>
              <w:lang w:eastAsia="en-GB"/>
            </w:rPr>
          </w:pPr>
          <w:hyperlink w:anchor="_Toc75332393" w:history="1">
            <w:r w:rsidR="0001294F" w:rsidRPr="00545A13">
              <w:rPr>
                <w:rStyle w:val="Hyperlink"/>
                <w:noProof/>
              </w:rPr>
              <w:t>6.2 Internal Dispute Resolution Procedure (IDRP)</w:t>
            </w:r>
            <w:r w:rsidR="0001294F">
              <w:rPr>
                <w:noProof/>
                <w:webHidden/>
              </w:rPr>
              <w:tab/>
            </w:r>
            <w:r w:rsidR="0001294F">
              <w:rPr>
                <w:noProof/>
                <w:webHidden/>
              </w:rPr>
              <w:fldChar w:fldCharType="begin"/>
            </w:r>
            <w:r w:rsidR="0001294F">
              <w:rPr>
                <w:noProof/>
                <w:webHidden/>
              </w:rPr>
              <w:instrText xml:space="preserve"> PAGEREF _Toc75332393 \h </w:instrText>
            </w:r>
            <w:r w:rsidR="0001294F">
              <w:rPr>
                <w:noProof/>
                <w:webHidden/>
              </w:rPr>
            </w:r>
            <w:r w:rsidR="0001294F">
              <w:rPr>
                <w:noProof/>
                <w:webHidden/>
              </w:rPr>
              <w:fldChar w:fldCharType="separate"/>
            </w:r>
            <w:r w:rsidR="0008663E">
              <w:rPr>
                <w:noProof/>
                <w:webHidden/>
              </w:rPr>
              <w:t>5</w:t>
            </w:r>
            <w:r w:rsidR="0001294F">
              <w:rPr>
                <w:noProof/>
                <w:webHidden/>
              </w:rPr>
              <w:fldChar w:fldCharType="end"/>
            </w:r>
          </w:hyperlink>
        </w:p>
        <w:p w14:paraId="73B8EEA8" w14:textId="66A6DC02" w:rsidR="0001294F" w:rsidRDefault="004F2AA8">
          <w:pPr>
            <w:pStyle w:val="TOC2"/>
            <w:rPr>
              <w:rFonts w:asciiTheme="minorHAnsi" w:eastAsiaTheme="minorEastAsia" w:hAnsiTheme="minorHAnsi"/>
              <w:noProof/>
              <w:lang w:eastAsia="en-GB"/>
            </w:rPr>
          </w:pPr>
          <w:hyperlink w:anchor="_Toc75332394" w:history="1">
            <w:r w:rsidR="0001294F" w:rsidRPr="00545A13">
              <w:rPr>
                <w:rStyle w:val="Hyperlink"/>
                <w:noProof/>
              </w:rPr>
              <w:t>6.3 The Pensions Regulator (TPR)</w:t>
            </w:r>
            <w:r w:rsidR="0001294F">
              <w:rPr>
                <w:noProof/>
                <w:webHidden/>
              </w:rPr>
              <w:tab/>
            </w:r>
            <w:r w:rsidR="0001294F">
              <w:rPr>
                <w:noProof/>
                <w:webHidden/>
              </w:rPr>
              <w:fldChar w:fldCharType="begin"/>
            </w:r>
            <w:r w:rsidR="0001294F">
              <w:rPr>
                <w:noProof/>
                <w:webHidden/>
              </w:rPr>
              <w:instrText xml:space="preserve"> PAGEREF _Toc75332394 \h </w:instrText>
            </w:r>
            <w:r w:rsidR="0001294F">
              <w:rPr>
                <w:noProof/>
                <w:webHidden/>
              </w:rPr>
            </w:r>
            <w:r w:rsidR="0001294F">
              <w:rPr>
                <w:noProof/>
                <w:webHidden/>
              </w:rPr>
              <w:fldChar w:fldCharType="separate"/>
            </w:r>
            <w:r w:rsidR="0008663E">
              <w:rPr>
                <w:noProof/>
                <w:webHidden/>
              </w:rPr>
              <w:t>6</w:t>
            </w:r>
            <w:r w:rsidR="0001294F">
              <w:rPr>
                <w:noProof/>
                <w:webHidden/>
              </w:rPr>
              <w:fldChar w:fldCharType="end"/>
            </w:r>
          </w:hyperlink>
        </w:p>
        <w:p w14:paraId="18A88FC1" w14:textId="7E52C985" w:rsidR="0001294F" w:rsidRDefault="004F2AA8">
          <w:pPr>
            <w:pStyle w:val="TOC2"/>
            <w:rPr>
              <w:rFonts w:asciiTheme="minorHAnsi" w:eastAsiaTheme="minorEastAsia" w:hAnsiTheme="minorHAnsi"/>
              <w:noProof/>
              <w:lang w:eastAsia="en-GB"/>
            </w:rPr>
          </w:pPr>
          <w:hyperlink w:anchor="_Toc75332395" w:history="1">
            <w:r w:rsidR="0001294F" w:rsidRPr="00545A13">
              <w:rPr>
                <w:rStyle w:val="Hyperlink"/>
                <w:noProof/>
              </w:rPr>
              <w:t>6.4 Data transfer</w:t>
            </w:r>
            <w:r w:rsidR="0001294F">
              <w:rPr>
                <w:noProof/>
                <w:webHidden/>
              </w:rPr>
              <w:tab/>
            </w:r>
            <w:r w:rsidR="0001294F">
              <w:rPr>
                <w:noProof/>
                <w:webHidden/>
              </w:rPr>
              <w:fldChar w:fldCharType="begin"/>
            </w:r>
            <w:r w:rsidR="0001294F">
              <w:rPr>
                <w:noProof/>
                <w:webHidden/>
              </w:rPr>
              <w:instrText xml:space="preserve"> PAGEREF _Toc75332395 \h </w:instrText>
            </w:r>
            <w:r w:rsidR="0001294F">
              <w:rPr>
                <w:noProof/>
                <w:webHidden/>
              </w:rPr>
            </w:r>
            <w:r w:rsidR="0001294F">
              <w:rPr>
                <w:noProof/>
                <w:webHidden/>
              </w:rPr>
              <w:fldChar w:fldCharType="separate"/>
            </w:r>
            <w:r w:rsidR="0008663E">
              <w:rPr>
                <w:noProof/>
                <w:webHidden/>
              </w:rPr>
              <w:t>7</w:t>
            </w:r>
            <w:r w:rsidR="0001294F">
              <w:rPr>
                <w:noProof/>
                <w:webHidden/>
              </w:rPr>
              <w:fldChar w:fldCharType="end"/>
            </w:r>
          </w:hyperlink>
        </w:p>
        <w:p w14:paraId="159FA82C" w14:textId="5ACCB6E5" w:rsidR="0001294F" w:rsidRDefault="004F2AA8">
          <w:pPr>
            <w:pStyle w:val="TOC2"/>
            <w:rPr>
              <w:rFonts w:asciiTheme="minorHAnsi" w:eastAsiaTheme="minorEastAsia" w:hAnsiTheme="minorHAnsi"/>
              <w:noProof/>
              <w:lang w:eastAsia="en-GB"/>
            </w:rPr>
          </w:pPr>
          <w:hyperlink w:anchor="_Toc75332396" w:history="1">
            <w:r w:rsidR="0001294F" w:rsidRPr="00545A13">
              <w:rPr>
                <w:rStyle w:val="Hyperlink"/>
                <w:noProof/>
              </w:rPr>
              <w:t>6.5 Contribution bands</w:t>
            </w:r>
            <w:r w:rsidR="0001294F">
              <w:rPr>
                <w:noProof/>
                <w:webHidden/>
              </w:rPr>
              <w:tab/>
            </w:r>
            <w:r w:rsidR="0001294F">
              <w:rPr>
                <w:noProof/>
                <w:webHidden/>
              </w:rPr>
              <w:fldChar w:fldCharType="begin"/>
            </w:r>
            <w:r w:rsidR="0001294F">
              <w:rPr>
                <w:noProof/>
                <w:webHidden/>
              </w:rPr>
              <w:instrText xml:space="preserve"> PAGEREF _Toc75332396 \h </w:instrText>
            </w:r>
            <w:r w:rsidR="0001294F">
              <w:rPr>
                <w:noProof/>
                <w:webHidden/>
              </w:rPr>
            </w:r>
            <w:r w:rsidR="0001294F">
              <w:rPr>
                <w:noProof/>
                <w:webHidden/>
              </w:rPr>
              <w:fldChar w:fldCharType="separate"/>
            </w:r>
            <w:r w:rsidR="0008663E">
              <w:rPr>
                <w:noProof/>
                <w:webHidden/>
              </w:rPr>
              <w:t>8</w:t>
            </w:r>
            <w:r w:rsidR="0001294F">
              <w:rPr>
                <w:noProof/>
                <w:webHidden/>
              </w:rPr>
              <w:fldChar w:fldCharType="end"/>
            </w:r>
          </w:hyperlink>
        </w:p>
        <w:p w14:paraId="29035748" w14:textId="1F23DC71" w:rsidR="0001294F" w:rsidRDefault="004F2AA8">
          <w:pPr>
            <w:pStyle w:val="TOC2"/>
            <w:rPr>
              <w:rFonts w:asciiTheme="minorHAnsi" w:eastAsiaTheme="minorEastAsia" w:hAnsiTheme="minorHAnsi"/>
              <w:noProof/>
              <w:lang w:eastAsia="en-GB"/>
            </w:rPr>
          </w:pPr>
          <w:hyperlink w:anchor="_Toc75332397" w:history="1">
            <w:r w:rsidR="0001294F" w:rsidRPr="00545A13">
              <w:rPr>
                <w:rStyle w:val="Hyperlink"/>
                <w:noProof/>
              </w:rPr>
              <w:t>6.6 Reporting breaches</w:t>
            </w:r>
            <w:r w:rsidR="0001294F">
              <w:rPr>
                <w:noProof/>
                <w:webHidden/>
              </w:rPr>
              <w:tab/>
            </w:r>
            <w:r w:rsidR="0001294F">
              <w:rPr>
                <w:noProof/>
                <w:webHidden/>
              </w:rPr>
              <w:fldChar w:fldCharType="begin"/>
            </w:r>
            <w:r w:rsidR="0001294F">
              <w:rPr>
                <w:noProof/>
                <w:webHidden/>
              </w:rPr>
              <w:instrText xml:space="preserve"> PAGEREF _Toc75332397 \h </w:instrText>
            </w:r>
            <w:r w:rsidR="0001294F">
              <w:rPr>
                <w:noProof/>
                <w:webHidden/>
              </w:rPr>
            </w:r>
            <w:r w:rsidR="0001294F">
              <w:rPr>
                <w:noProof/>
                <w:webHidden/>
              </w:rPr>
              <w:fldChar w:fldCharType="separate"/>
            </w:r>
            <w:r w:rsidR="0008663E">
              <w:rPr>
                <w:noProof/>
                <w:webHidden/>
              </w:rPr>
              <w:t>8</w:t>
            </w:r>
            <w:r w:rsidR="0001294F">
              <w:rPr>
                <w:noProof/>
                <w:webHidden/>
              </w:rPr>
              <w:fldChar w:fldCharType="end"/>
            </w:r>
          </w:hyperlink>
        </w:p>
        <w:p w14:paraId="003840F3" w14:textId="5083543B" w:rsidR="0001294F" w:rsidRDefault="004F2AA8">
          <w:pPr>
            <w:pStyle w:val="TOC2"/>
            <w:rPr>
              <w:rFonts w:asciiTheme="minorHAnsi" w:eastAsiaTheme="minorEastAsia" w:hAnsiTheme="minorHAnsi"/>
              <w:noProof/>
              <w:lang w:eastAsia="en-GB"/>
            </w:rPr>
          </w:pPr>
          <w:hyperlink w:anchor="_Toc75332398" w:history="1">
            <w:r w:rsidR="0001294F" w:rsidRPr="00545A13">
              <w:rPr>
                <w:rStyle w:val="Hyperlink"/>
                <w:noProof/>
              </w:rPr>
              <w:t>6.7 Top-up grant</w:t>
            </w:r>
            <w:r w:rsidR="0001294F">
              <w:rPr>
                <w:noProof/>
                <w:webHidden/>
              </w:rPr>
              <w:tab/>
            </w:r>
            <w:r w:rsidR="0001294F">
              <w:rPr>
                <w:noProof/>
                <w:webHidden/>
              </w:rPr>
              <w:fldChar w:fldCharType="begin"/>
            </w:r>
            <w:r w:rsidR="0001294F">
              <w:rPr>
                <w:noProof/>
                <w:webHidden/>
              </w:rPr>
              <w:instrText xml:space="preserve"> PAGEREF _Toc75332398 \h </w:instrText>
            </w:r>
            <w:r w:rsidR="0001294F">
              <w:rPr>
                <w:noProof/>
                <w:webHidden/>
              </w:rPr>
            </w:r>
            <w:r w:rsidR="0001294F">
              <w:rPr>
                <w:noProof/>
                <w:webHidden/>
              </w:rPr>
              <w:fldChar w:fldCharType="separate"/>
            </w:r>
            <w:r w:rsidR="0008663E">
              <w:rPr>
                <w:noProof/>
                <w:webHidden/>
              </w:rPr>
              <w:t>8</w:t>
            </w:r>
            <w:r w:rsidR="0001294F">
              <w:rPr>
                <w:noProof/>
                <w:webHidden/>
              </w:rPr>
              <w:fldChar w:fldCharType="end"/>
            </w:r>
          </w:hyperlink>
        </w:p>
        <w:p w14:paraId="09204AF3" w14:textId="3126F795" w:rsidR="0001294F" w:rsidRDefault="004F2AA8">
          <w:pPr>
            <w:pStyle w:val="TOC2"/>
            <w:rPr>
              <w:rFonts w:asciiTheme="minorHAnsi" w:eastAsiaTheme="minorEastAsia" w:hAnsiTheme="minorHAnsi"/>
              <w:noProof/>
              <w:lang w:eastAsia="en-GB"/>
            </w:rPr>
          </w:pPr>
          <w:hyperlink w:anchor="_Toc75332399" w:history="1">
            <w:r w:rsidR="0001294F" w:rsidRPr="00545A13">
              <w:rPr>
                <w:rStyle w:val="Hyperlink"/>
                <w:noProof/>
              </w:rPr>
              <w:t>6.8 HMRC reporting</w:t>
            </w:r>
            <w:r w:rsidR="0001294F">
              <w:rPr>
                <w:noProof/>
                <w:webHidden/>
              </w:rPr>
              <w:tab/>
            </w:r>
            <w:r w:rsidR="0001294F">
              <w:rPr>
                <w:noProof/>
                <w:webHidden/>
              </w:rPr>
              <w:fldChar w:fldCharType="begin"/>
            </w:r>
            <w:r w:rsidR="0001294F">
              <w:rPr>
                <w:noProof/>
                <w:webHidden/>
              </w:rPr>
              <w:instrText xml:space="preserve"> PAGEREF _Toc75332399 \h </w:instrText>
            </w:r>
            <w:r w:rsidR="0001294F">
              <w:rPr>
                <w:noProof/>
                <w:webHidden/>
              </w:rPr>
            </w:r>
            <w:r w:rsidR="0001294F">
              <w:rPr>
                <w:noProof/>
                <w:webHidden/>
              </w:rPr>
              <w:fldChar w:fldCharType="separate"/>
            </w:r>
            <w:r w:rsidR="0008663E">
              <w:rPr>
                <w:noProof/>
                <w:webHidden/>
              </w:rPr>
              <w:t>9</w:t>
            </w:r>
            <w:r w:rsidR="0001294F">
              <w:rPr>
                <w:noProof/>
                <w:webHidden/>
              </w:rPr>
              <w:fldChar w:fldCharType="end"/>
            </w:r>
          </w:hyperlink>
        </w:p>
        <w:p w14:paraId="36E80740" w14:textId="390C027B" w:rsidR="0001294F" w:rsidRDefault="004F2AA8">
          <w:pPr>
            <w:pStyle w:val="TOC2"/>
            <w:rPr>
              <w:rFonts w:asciiTheme="minorHAnsi" w:eastAsiaTheme="minorEastAsia" w:hAnsiTheme="minorHAnsi"/>
              <w:noProof/>
              <w:lang w:eastAsia="en-GB"/>
            </w:rPr>
          </w:pPr>
          <w:hyperlink w:anchor="_Toc75332400" w:history="1">
            <w:r w:rsidR="0001294F" w:rsidRPr="00545A13">
              <w:rPr>
                <w:rStyle w:val="Hyperlink"/>
                <w:noProof/>
              </w:rPr>
              <w:t>6.9 General Data Protection Regulation (GDPR)</w:t>
            </w:r>
            <w:r w:rsidR="0001294F">
              <w:rPr>
                <w:noProof/>
                <w:webHidden/>
              </w:rPr>
              <w:tab/>
            </w:r>
            <w:r w:rsidR="0001294F">
              <w:rPr>
                <w:noProof/>
                <w:webHidden/>
              </w:rPr>
              <w:fldChar w:fldCharType="begin"/>
            </w:r>
            <w:r w:rsidR="0001294F">
              <w:rPr>
                <w:noProof/>
                <w:webHidden/>
              </w:rPr>
              <w:instrText xml:space="preserve"> PAGEREF _Toc75332400 \h </w:instrText>
            </w:r>
            <w:r w:rsidR="0001294F">
              <w:rPr>
                <w:noProof/>
                <w:webHidden/>
              </w:rPr>
            </w:r>
            <w:r w:rsidR="0001294F">
              <w:rPr>
                <w:noProof/>
                <w:webHidden/>
              </w:rPr>
              <w:fldChar w:fldCharType="separate"/>
            </w:r>
            <w:r w:rsidR="0008663E">
              <w:rPr>
                <w:noProof/>
                <w:webHidden/>
              </w:rPr>
              <w:t>10</w:t>
            </w:r>
            <w:r w:rsidR="0001294F">
              <w:rPr>
                <w:noProof/>
                <w:webHidden/>
              </w:rPr>
              <w:fldChar w:fldCharType="end"/>
            </w:r>
          </w:hyperlink>
        </w:p>
        <w:p w14:paraId="7E6AE23A" w14:textId="63A7D0DD" w:rsidR="0001294F" w:rsidRDefault="004F2AA8">
          <w:pPr>
            <w:pStyle w:val="TOC2"/>
            <w:rPr>
              <w:rFonts w:asciiTheme="minorHAnsi" w:eastAsiaTheme="minorEastAsia" w:hAnsiTheme="minorHAnsi"/>
              <w:noProof/>
              <w:lang w:eastAsia="en-GB"/>
            </w:rPr>
          </w:pPr>
          <w:hyperlink w:anchor="_Toc75332401" w:history="1">
            <w:r w:rsidR="0001294F" w:rsidRPr="00545A13">
              <w:rPr>
                <w:rStyle w:val="Hyperlink"/>
                <w:noProof/>
              </w:rPr>
              <w:t>6.10 Disclosure</w:t>
            </w:r>
            <w:r w:rsidR="0001294F">
              <w:rPr>
                <w:noProof/>
                <w:webHidden/>
              </w:rPr>
              <w:tab/>
            </w:r>
            <w:r w:rsidR="0001294F">
              <w:rPr>
                <w:noProof/>
                <w:webHidden/>
              </w:rPr>
              <w:fldChar w:fldCharType="begin"/>
            </w:r>
            <w:r w:rsidR="0001294F">
              <w:rPr>
                <w:noProof/>
                <w:webHidden/>
              </w:rPr>
              <w:instrText xml:space="preserve"> PAGEREF _Toc75332401 \h </w:instrText>
            </w:r>
            <w:r w:rsidR="0001294F">
              <w:rPr>
                <w:noProof/>
                <w:webHidden/>
              </w:rPr>
            </w:r>
            <w:r w:rsidR="0001294F">
              <w:rPr>
                <w:noProof/>
                <w:webHidden/>
              </w:rPr>
              <w:fldChar w:fldCharType="separate"/>
            </w:r>
            <w:r w:rsidR="0008663E">
              <w:rPr>
                <w:noProof/>
                <w:webHidden/>
              </w:rPr>
              <w:t>10</w:t>
            </w:r>
            <w:r w:rsidR="0001294F">
              <w:rPr>
                <w:noProof/>
                <w:webHidden/>
              </w:rPr>
              <w:fldChar w:fldCharType="end"/>
            </w:r>
          </w:hyperlink>
        </w:p>
        <w:p w14:paraId="6575C0A1" w14:textId="18B07EDD" w:rsidR="0001294F" w:rsidRDefault="004F2AA8">
          <w:pPr>
            <w:pStyle w:val="TOC2"/>
            <w:rPr>
              <w:rFonts w:asciiTheme="minorHAnsi" w:eastAsiaTheme="minorEastAsia" w:hAnsiTheme="minorHAnsi"/>
              <w:noProof/>
              <w:lang w:eastAsia="en-GB"/>
            </w:rPr>
          </w:pPr>
          <w:hyperlink w:anchor="_Toc75332402" w:history="1">
            <w:r w:rsidR="0001294F" w:rsidRPr="00545A13">
              <w:rPr>
                <w:rStyle w:val="Hyperlink"/>
                <w:noProof/>
              </w:rPr>
              <w:t>6.11 Overriding legislation</w:t>
            </w:r>
            <w:r w:rsidR="0001294F">
              <w:rPr>
                <w:noProof/>
                <w:webHidden/>
              </w:rPr>
              <w:tab/>
            </w:r>
            <w:r w:rsidR="0001294F">
              <w:rPr>
                <w:noProof/>
                <w:webHidden/>
              </w:rPr>
              <w:fldChar w:fldCharType="begin"/>
            </w:r>
            <w:r w:rsidR="0001294F">
              <w:rPr>
                <w:noProof/>
                <w:webHidden/>
              </w:rPr>
              <w:instrText xml:space="preserve"> PAGEREF _Toc75332402 \h </w:instrText>
            </w:r>
            <w:r w:rsidR="0001294F">
              <w:rPr>
                <w:noProof/>
                <w:webHidden/>
              </w:rPr>
            </w:r>
            <w:r w:rsidR="0001294F">
              <w:rPr>
                <w:noProof/>
                <w:webHidden/>
              </w:rPr>
              <w:fldChar w:fldCharType="separate"/>
            </w:r>
            <w:r w:rsidR="0008663E">
              <w:rPr>
                <w:noProof/>
                <w:webHidden/>
              </w:rPr>
              <w:t>10</w:t>
            </w:r>
            <w:r w:rsidR="0001294F">
              <w:rPr>
                <w:noProof/>
                <w:webHidden/>
              </w:rPr>
              <w:fldChar w:fldCharType="end"/>
            </w:r>
          </w:hyperlink>
        </w:p>
        <w:p w14:paraId="716BE08A" w14:textId="7E0BC33B" w:rsidR="0001294F" w:rsidRDefault="004F2AA8">
          <w:pPr>
            <w:pStyle w:val="TOC2"/>
            <w:rPr>
              <w:rFonts w:asciiTheme="minorHAnsi" w:eastAsiaTheme="minorEastAsia" w:hAnsiTheme="minorHAnsi"/>
              <w:noProof/>
              <w:lang w:eastAsia="en-GB"/>
            </w:rPr>
          </w:pPr>
          <w:hyperlink w:anchor="_Toc75332403" w:history="1">
            <w:r w:rsidR="0001294F" w:rsidRPr="00545A13">
              <w:rPr>
                <w:rStyle w:val="Hyperlink"/>
                <w:noProof/>
              </w:rPr>
              <w:t>6.12 Audit</w:t>
            </w:r>
            <w:r w:rsidR="0001294F">
              <w:rPr>
                <w:noProof/>
                <w:webHidden/>
              </w:rPr>
              <w:tab/>
            </w:r>
            <w:r w:rsidR="0001294F">
              <w:rPr>
                <w:noProof/>
                <w:webHidden/>
              </w:rPr>
              <w:fldChar w:fldCharType="begin"/>
            </w:r>
            <w:r w:rsidR="0001294F">
              <w:rPr>
                <w:noProof/>
                <w:webHidden/>
              </w:rPr>
              <w:instrText xml:space="preserve"> PAGEREF _Toc75332403 \h </w:instrText>
            </w:r>
            <w:r w:rsidR="0001294F">
              <w:rPr>
                <w:noProof/>
                <w:webHidden/>
              </w:rPr>
            </w:r>
            <w:r w:rsidR="0001294F">
              <w:rPr>
                <w:noProof/>
                <w:webHidden/>
              </w:rPr>
              <w:fldChar w:fldCharType="separate"/>
            </w:r>
            <w:r w:rsidR="0008663E">
              <w:rPr>
                <w:noProof/>
                <w:webHidden/>
              </w:rPr>
              <w:t>10</w:t>
            </w:r>
            <w:r w:rsidR="0001294F">
              <w:rPr>
                <w:noProof/>
                <w:webHidden/>
              </w:rPr>
              <w:fldChar w:fldCharType="end"/>
            </w:r>
          </w:hyperlink>
        </w:p>
        <w:p w14:paraId="5291F83B" w14:textId="1636DAD0" w:rsidR="0001294F" w:rsidRDefault="004F2AA8">
          <w:pPr>
            <w:pStyle w:val="TOC1"/>
            <w:rPr>
              <w:rFonts w:asciiTheme="minorHAnsi" w:eastAsiaTheme="minorEastAsia" w:hAnsiTheme="minorHAnsi"/>
              <w:b w:val="0"/>
              <w:noProof/>
              <w:lang w:eastAsia="en-GB"/>
            </w:rPr>
          </w:pPr>
          <w:hyperlink w:anchor="_Toc75332404" w:history="1">
            <w:r w:rsidR="0001294F" w:rsidRPr="00545A13">
              <w:rPr>
                <w:rStyle w:val="Hyperlink"/>
                <w:noProof/>
              </w:rPr>
              <w:t>7</w:t>
            </w:r>
            <w:r w:rsidR="0001294F">
              <w:rPr>
                <w:rFonts w:asciiTheme="minorHAnsi" w:eastAsiaTheme="minorEastAsia" w:hAnsiTheme="minorHAnsi"/>
                <w:b w:val="0"/>
                <w:noProof/>
                <w:lang w:eastAsia="en-GB"/>
              </w:rPr>
              <w:tab/>
            </w:r>
            <w:r w:rsidR="0001294F" w:rsidRPr="00545A13">
              <w:rPr>
                <w:rStyle w:val="Hyperlink"/>
                <w:noProof/>
              </w:rPr>
              <w:t>Administrator duties and responsibilities</w:t>
            </w:r>
            <w:r w:rsidR="0001294F">
              <w:rPr>
                <w:noProof/>
                <w:webHidden/>
              </w:rPr>
              <w:tab/>
            </w:r>
            <w:r w:rsidR="0001294F">
              <w:rPr>
                <w:noProof/>
                <w:webHidden/>
              </w:rPr>
              <w:fldChar w:fldCharType="begin"/>
            </w:r>
            <w:r w:rsidR="0001294F">
              <w:rPr>
                <w:noProof/>
                <w:webHidden/>
              </w:rPr>
              <w:instrText xml:space="preserve"> PAGEREF _Toc75332404 \h </w:instrText>
            </w:r>
            <w:r w:rsidR="0001294F">
              <w:rPr>
                <w:noProof/>
                <w:webHidden/>
              </w:rPr>
            </w:r>
            <w:r w:rsidR="0001294F">
              <w:rPr>
                <w:noProof/>
                <w:webHidden/>
              </w:rPr>
              <w:fldChar w:fldCharType="separate"/>
            </w:r>
            <w:r w:rsidR="0008663E">
              <w:rPr>
                <w:noProof/>
                <w:webHidden/>
              </w:rPr>
              <w:t>11</w:t>
            </w:r>
            <w:r w:rsidR="0001294F">
              <w:rPr>
                <w:noProof/>
                <w:webHidden/>
              </w:rPr>
              <w:fldChar w:fldCharType="end"/>
            </w:r>
          </w:hyperlink>
        </w:p>
        <w:p w14:paraId="44ECD111" w14:textId="67AFA829" w:rsidR="0001294F" w:rsidRDefault="004F2AA8">
          <w:pPr>
            <w:pStyle w:val="TOC2"/>
            <w:rPr>
              <w:rFonts w:asciiTheme="minorHAnsi" w:eastAsiaTheme="minorEastAsia" w:hAnsiTheme="minorHAnsi"/>
              <w:noProof/>
              <w:lang w:eastAsia="en-GB"/>
            </w:rPr>
          </w:pPr>
          <w:hyperlink w:anchor="_Toc75332407" w:history="1">
            <w:r w:rsidR="0001294F" w:rsidRPr="00545A13">
              <w:rPr>
                <w:rStyle w:val="Hyperlink"/>
                <w:noProof/>
              </w:rPr>
              <w:t>7.1 The Pensions Regulator (TPR)</w:t>
            </w:r>
            <w:r w:rsidR="0001294F">
              <w:rPr>
                <w:noProof/>
                <w:webHidden/>
              </w:rPr>
              <w:tab/>
            </w:r>
            <w:r w:rsidR="0001294F">
              <w:rPr>
                <w:noProof/>
                <w:webHidden/>
              </w:rPr>
              <w:fldChar w:fldCharType="begin"/>
            </w:r>
            <w:r w:rsidR="0001294F">
              <w:rPr>
                <w:noProof/>
                <w:webHidden/>
              </w:rPr>
              <w:instrText xml:space="preserve"> PAGEREF _Toc75332407 \h </w:instrText>
            </w:r>
            <w:r w:rsidR="0001294F">
              <w:rPr>
                <w:noProof/>
                <w:webHidden/>
              </w:rPr>
            </w:r>
            <w:r w:rsidR="0001294F">
              <w:rPr>
                <w:noProof/>
                <w:webHidden/>
              </w:rPr>
              <w:fldChar w:fldCharType="separate"/>
            </w:r>
            <w:r w:rsidR="0008663E">
              <w:rPr>
                <w:noProof/>
                <w:webHidden/>
              </w:rPr>
              <w:t>11</w:t>
            </w:r>
            <w:r w:rsidR="0001294F">
              <w:rPr>
                <w:noProof/>
                <w:webHidden/>
              </w:rPr>
              <w:fldChar w:fldCharType="end"/>
            </w:r>
          </w:hyperlink>
        </w:p>
        <w:p w14:paraId="4C1D46A7" w14:textId="3C7307A3" w:rsidR="0001294F" w:rsidRDefault="004F2AA8">
          <w:pPr>
            <w:pStyle w:val="TOC2"/>
            <w:rPr>
              <w:rFonts w:asciiTheme="minorHAnsi" w:eastAsiaTheme="minorEastAsia" w:hAnsiTheme="minorHAnsi"/>
              <w:noProof/>
              <w:lang w:eastAsia="en-GB"/>
            </w:rPr>
          </w:pPr>
          <w:hyperlink w:anchor="_Toc75332408" w:history="1">
            <w:r w:rsidR="0001294F" w:rsidRPr="00545A13">
              <w:rPr>
                <w:rStyle w:val="Hyperlink"/>
                <w:noProof/>
              </w:rPr>
              <w:t>7.2 Data standards</w:t>
            </w:r>
            <w:r w:rsidR="0001294F">
              <w:rPr>
                <w:noProof/>
                <w:webHidden/>
              </w:rPr>
              <w:tab/>
            </w:r>
            <w:r w:rsidR="0001294F">
              <w:rPr>
                <w:noProof/>
                <w:webHidden/>
              </w:rPr>
              <w:fldChar w:fldCharType="begin"/>
            </w:r>
            <w:r w:rsidR="0001294F">
              <w:rPr>
                <w:noProof/>
                <w:webHidden/>
              </w:rPr>
              <w:instrText xml:space="preserve"> PAGEREF _Toc75332408 \h </w:instrText>
            </w:r>
            <w:r w:rsidR="0001294F">
              <w:rPr>
                <w:noProof/>
                <w:webHidden/>
              </w:rPr>
            </w:r>
            <w:r w:rsidR="0001294F">
              <w:rPr>
                <w:noProof/>
                <w:webHidden/>
              </w:rPr>
              <w:fldChar w:fldCharType="separate"/>
            </w:r>
            <w:r w:rsidR="0008663E">
              <w:rPr>
                <w:noProof/>
                <w:webHidden/>
              </w:rPr>
              <w:t>11</w:t>
            </w:r>
            <w:r w:rsidR="0001294F">
              <w:rPr>
                <w:noProof/>
                <w:webHidden/>
              </w:rPr>
              <w:fldChar w:fldCharType="end"/>
            </w:r>
          </w:hyperlink>
        </w:p>
        <w:p w14:paraId="1A2C4777" w14:textId="30115486" w:rsidR="0001294F" w:rsidRDefault="004F2AA8">
          <w:pPr>
            <w:pStyle w:val="TOC2"/>
            <w:rPr>
              <w:rFonts w:asciiTheme="minorHAnsi" w:eastAsiaTheme="minorEastAsia" w:hAnsiTheme="minorHAnsi"/>
              <w:noProof/>
              <w:lang w:eastAsia="en-GB"/>
            </w:rPr>
          </w:pPr>
          <w:hyperlink w:anchor="_Toc75332409" w:history="1">
            <w:r w:rsidR="0001294F" w:rsidRPr="00545A13">
              <w:rPr>
                <w:rStyle w:val="Hyperlink"/>
                <w:noProof/>
              </w:rPr>
              <w:t>7.3 Reporting breaches</w:t>
            </w:r>
            <w:r w:rsidR="0001294F">
              <w:rPr>
                <w:noProof/>
                <w:webHidden/>
              </w:rPr>
              <w:tab/>
            </w:r>
            <w:r w:rsidR="0001294F">
              <w:rPr>
                <w:noProof/>
                <w:webHidden/>
              </w:rPr>
              <w:fldChar w:fldCharType="begin"/>
            </w:r>
            <w:r w:rsidR="0001294F">
              <w:rPr>
                <w:noProof/>
                <w:webHidden/>
              </w:rPr>
              <w:instrText xml:space="preserve"> PAGEREF _Toc75332409 \h </w:instrText>
            </w:r>
            <w:r w:rsidR="0001294F">
              <w:rPr>
                <w:noProof/>
                <w:webHidden/>
              </w:rPr>
            </w:r>
            <w:r w:rsidR="0001294F">
              <w:rPr>
                <w:noProof/>
                <w:webHidden/>
              </w:rPr>
              <w:fldChar w:fldCharType="separate"/>
            </w:r>
            <w:r w:rsidR="0008663E">
              <w:rPr>
                <w:noProof/>
                <w:webHidden/>
              </w:rPr>
              <w:t>11</w:t>
            </w:r>
            <w:r w:rsidR="0001294F">
              <w:rPr>
                <w:noProof/>
                <w:webHidden/>
              </w:rPr>
              <w:fldChar w:fldCharType="end"/>
            </w:r>
          </w:hyperlink>
        </w:p>
        <w:p w14:paraId="2FBE6F0E" w14:textId="06172288" w:rsidR="0001294F" w:rsidRDefault="004F2AA8">
          <w:pPr>
            <w:pStyle w:val="TOC2"/>
            <w:rPr>
              <w:rFonts w:asciiTheme="minorHAnsi" w:eastAsiaTheme="minorEastAsia" w:hAnsiTheme="minorHAnsi"/>
              <w:noProof/>
              <w:lang w:eastAsia="en-GB"/>
            </w:rPr>
          </w:pPr>
          <w:hyperlink w:anchor="_Toc75332410" w:history="1">
            <w:r w:rsidR="0001294F" w:rsidRPr="00545A13">
              <w:rPr>
                <w:rStyle w:val="Hyperlink"/>
                <w:noProof/>
              </w:rPr>
              <w:t>7.4 HMRC reporting</w:t>
            </w:r>
            <w:r w:rsidR="0001294F">
              <w:rPr>
                <w:noProof/>
                <w:webHidden/>
              </w:rPr>
              <w:tab/>
            </w:r>
            <w:r w:rsidR="0001294F">
              <w:rPr>
                <w:noProof/>
                <w:webHidden/>
              </w:rPr>
              <w:fldChar w:fldCharType="begin"/>
            </w:r>
            <w:r w:rsidR="0001294F">
              <w:rPr>
                <w:noProof/>
                <w:webHidden/>
              </w:rPr>
              <w:instrText xml:space="preserve"> PAGEREF _Toc75332410 \h </w:instrText>
            </w:r>
            <w:r w:rsidR="0001294F">
              <w:rPr>
                <w:noProof/>
                <w:webHidden/>
              </w:rPr>
            </w:r>
            <w:r w:rsidR="0001294F">
              <w:rPr>
                <w:noProof/>
                <w:webHidden/>
              </w:rPr>
              <w:fldChar w:fldCharType="separate"/>
            </w:r>
            <w:r w:rsidR="0008663E">
              <w:rPr>
                <w:noProof/>
                <w:webHidden/>
              </w:rPr>
              <w:t>11</w:t>
            </w:r>
            <w:r w:rsidR="0001294F">
              <w:rPr>
                <w:noProof/>
                <w:webHidden/>
              </w:rPr>
              <w:fldChar w:fldCharType="end"/>
            </w:r>
          </w:hyperlink>
        </w:p>
        <w:p w14:paraId="37B74939" w14:textId="25734C72" w:rsidR="0001294F" w:rsidRDefault="004F2AA8">
          <w:pPr>
            <w:pStyle w:val="TOC2"/>
            <w:rPr>
              <w:rFonts w:asciiTheme="minorHAnsi" w:eastAsiaTheme="minorEastAsia" w:hAnsiTheme="minorHAnsi"/>
              <w:noProof/>
              <w:lang w:eastAsia="en-GB"/>
            </w:rPr>
          </w:pPr>
          <w:hyperlink w:anchor="_Toc75332411" w:history="1">
            <w:r w:rsidR="0001294F" w:rsidRPr="00545A13">
              <w:rPr>
                <w:rStyle w:val="Hyperlink"/>
                <w:noProof/>
              </w:rPr>
              <w:t>7.5 GDPR</w:t>
            </w:r>
            <w:r w:rsidR="0001294F">
              <w:rPr>
                <w:noProof/>
                <w:webHidden/>
              </w:rPr>
              <w:tab/>
            </w:r>
            <w:r w:rsidR="0001294F">
              <w:rPr>
                <w:noProof/>
                <w:webHidden/>
              </w:rPr>
              <w:fldChar w:fldCharType="begin"/>
            </w:r>
            <w:r w:rsidR="0001294F">
              <w:rPr>
                <w:noProof/>
                <w:webHidden/>
              </w:rPr>
              <w:instrText xml:space="preserve"> PAGEREF _Toc75332411 \h </w:instrText>
            </w:r>
            <w:r w:rsidR="0001294F">
              <w:rPr>
                <w:noProof/>
                <w:webHidden/>
              </w:rPr>
            </w:r>
            <w:r w:rsidR="0001294F">
              <w:rPr>
                <w:noProof/>
                <w:webHidden/>
              </w:rPr>
              <w:fldChar w:fldCharType="separate"/>
            </w:r>
            <w:r w:rsidR="0008663E">
              <w:rPr>
                <w:noProof/>
                <w:webHidden/>
              </w:rPr>
              <w:t>11</w:t>
            </w:r>
            <w:r w:rsidR="0001294F">
              <w:rPr>
                <w:noProof/>
                <w:webHidden/>
              </w:rPr>
              <w:fldChar w:fldCharType="end"/>
            </w:r>
          </w:hyperlink>
        </w:p>
        <w:p w14:paraId="0D80E115" w14:textId="1171F179" w:rsidR="0001294F" w:rsidRDefault="004F2AA8">
          <w:pPr>
            <w:pStyle w:val="TOC2"/>
            <w:rPr>
              <w:rFonts w:asciiTheme="minorHAnsi" w:eastAsiaTheme="minorEastAsia" w:hAnsiTheme="minorHAnsi"/>
              <w:noProof/>
              <w:lang w:eastAsia="en-GB"/>
            </w:rPr>
          </w:pPr>
          <w:hyperlink w:anchor="_Toc75332412" w:history="1">
            <w:r w:rsidR="0001294F" w:rsidRPr="00545A13">
              <w:rPr>
                <w:rStyle w:val="Hyperlink"/>
                <w:noProof/>
              </w:rPr>
              <w:t>7.6 Overriding legislation</w:t>
            </w:r>
            <w:r w:rsidR="0001294F">
              <w:rPr>
                <w:noProof/>
                <w:webHidden/>
              </w:rPr>
              <w:tab/>
            </w:r>
            <w:r w:rsidR="0001294F">
              <w:rPr>
                <w:noProof/>
                <w:webHidden/>
              </w:rPr>
              <w:fldChar w:fldCharType="begin"/>
            </w:r>
            <w:r w:rsidR="0001294F">
              <w:rPr>
                <w:noProof/>
                <w:webHidden/>
              </w:rPr>
              <w:instrText xml:space="preserve"> PAGEREF _Toc75332412 \h </w:instrText>
            </w:r>
            <w:r w:rsidR="0001294F">
              <w:rPr>
                <w:noProof/>
                <w:webHidden/>
              </w:rPr>
            </w:r>
            <w:r w:rsidR="0001294F">
              <w:rPr>
                <w:noProof/>
                <w:webHidden/>
              </w:rPr>
              <w:fldChar w:fldCharType="separate"/>
            </w:r>
            <w:r w:rsidR="0008663E">
              <w:rPr>
                <w:noProof/>
                <w:webHidden/>
              </w:rPr>
              <w:t>12</w:t>
            </w:r>
            <w:r w:rsidR="0001294F">
              <w:rPr>
                <w:noProof/>
                <w:webHidden/>
              </w:rPr>
              <w:fldChar w:fldCharType="end"/>
            </w:r>
          </w:hyperlink>
        </w:p>
        <w:p w14:paraId="2447A026" w14:textId="5F32EBE1" w:rsidR="0001294F" w:rsidRDefault="004F2AA8">
          <w:pPr>
            <w:pStyle w:val="TOC2"/>
            <w:rPr>
              <w:rFonts w:asciiTheme="minorHAnsi" w:eastAsiaTheme="minorEastAsia" w:hAnsiTheme="minorHAnsi"/>
              <w:noProof/>
              <w:lang w:eastAsia="en-GB"/>
            </w:rPr>
          </w:pPr>
          <w:hyperlink w:anchor="_Toc75332413" w:history="1">
            <w:r w:rsidR="0001294F" w:rsidRPr="00545A13">
              <w:rPr>
                <w:rStyle w:val="Hyperlink"/>
                <w:noProof/>
              </w:rPr>
              <w:t>7.7 Audit</w:t>
            </w:r>
            <w:r w:rsidR="0001294F">
              <w:rPr>
                <w:noProof/>
                <w:webHidden/>
              </w:rPr>
              <w:tab/>
            </w:r>
            <w:r w:rsidR="0001294F">
              <w:rPr>
                <w:noProof/>
                <w:webHidden/>
              </w:rPr>
              <w:fldChar w:fldCharType="begin"/>
            </w:r>
            <w:r w:rsidR="0001294F">
              <w:rPr>
                <w:noProof/>
                <w:webHidden/>
              </w:rPr>
              <w:instrText xml:space="preserve"> PAGEREF _Toc75332413 \h </w:instrText>
            </w:r>
            <w:r w:rsidR="0001294F">
              <w:rPr>
                <w:noProof/>
                <w:webHidden/>
              </w:rPr>
            </w:r>
            <w:r w:rsidR="0001294F">
              <w:rPr>
                <w:noProof/>
                <w:webHidden/>
              </w:rPr>
              <w:fldChar w:fldCharType="separate"/>
            </w:r>
            <w:r w:rsidR="0008663E">
              <w:rPr>
                <w:noProof/>
                <w:webHidden/>
              </w:rPr>
              <w:t>12</w:t>
            </w:r>
            <w:r w:rsidR="0001294F">
              <w:rPr>
                <w:noProof/>
                <w:webHidden/>
              </w:rPr>
              <w:fldChar w:fldCharType="end"/>
            </w:r>
          </w:hyperlink>
        </w:p>
        <w:p w14:paraId="6AD78A26" w14:textId="66E7B63F" w:rsidR="0001294F" w:rsidRDefault="004F2AA8">
          <w:pPr>
            <w:pStyle w:val="TOC2"/>
            <w:rPr>
              <w:rFonts w:asciiTheme="minorHAnsi" w:eastAsiaTheme="minorEastAsia" w:hAnsiTheme="minorHAnsi"/>
              <w:noProof/>
              <w:lang w:eastAsia="en-GB"/>
            </w:rPr>
          </w:pPr>
          <w:hyperlink w:anchor="_Toc75332414" w:history="1">
            <w:r w:rsidR="0001294F" w:rsidRPr="00545A13">
              <w:rPr>
                <w:rStyle w:val="Hyperlink"/>
                <w:noProof/>
              </w:rPr>
              <w:t>7.8 Benchmarking</w:t>
            </w:r>
            <w:r w:rsidR="0001294F">
              <w:rPr>
                <w:noProof/>
                <w:webHidden/>
              </w:rPr>
              <w:tab/>
            </w:r>
            <w:r w:rsidR="0001294F">
              <w:rPr>
                <w:noProof/>
                <w:webHidden/>
              </w:rPr>
              <w:fldChar w:fldCharType="begin"/>
            </w:r>
            <w:r w:rsidR="0001294F">
              <w:rPr>
                <w:noProof/>
                <w:webHidden/>
              </w:rPr>
              <w:instrText xml:space="preserve"> PAGEREF _Toc75332414 \h </w:instrText>
            </w:r>
            <w:r w:rsidR="0001294F">
              <w:rPr>
                <w:noProof/>
                <w:webHidden/>
              </w:rPr>
            </w:r>
            <w:r w:rsidR="0001294F">
              <w:rPr>
                <w:noProof/>
                <w:webHidden/>
              </w:rPr>
              <w:fldChar w:fldCharType="separate"/>
            </w:r>
            <w:r w:rsidR="0008663E">
              <w:rPr>
                <w:noProof/>
                <w:webHidden/>
              </w:rPr>
              <w:t>12</w:t>
            </w:r>
            <w:r w:rsidR="0001294F">
              <w:rPr>
                <w:noProof/>
                <w:webHidden/>
              </w:rPr>
              <w:fldChar w:fldCharType="end"/>
            </w:r>
          </w:hyperlink>
        </w:p>
        <w:p w14:paraId="69DBC46B" w14:textId="4F4CC9BC" w:rsidR="0001294F" w:rsidRDefault="004F2AA8">
          <w:pPr>
            <w:pStyle w:val="TOC1"/>
            <w:rPr>
              <w:rFonts w:asciiTheme="minorHAnsi" w:eastAsiaTheme="minorEastAsia" w:hAnsiTheme="minorHAnsi"/>
              <w:b w:val="0"/>
              <w:noProof/>
              <w:lang w:eastAsia="en-GB"/>
            </w:rPr>
          </w:pPr>
          <w:hyperlink w:anchor="_Toc75332415" w:history="1">
            <w:r w:rsidR="0001294F" w:rsidRPr="00545A13">
              <w:rPr>
                <w:rStyle w:val="Hyperlink"/>
                <w:noProof/>
              </w:rPr>
              <w:t>8</w:t>
            </w:r>
            <w:r w:rsidR="0001294F">
              <w:rPr>
                <w:rFonts w:asciiTheme="minorHAnsi" w:eastAsiaTheme="minorEastAsia" w:hAnsiTheme="minorHAnsi"/>
                <w:b w:val="0"/>
                <w:noProof/>
                <w:lang w:eastAsia="en-GB"/>
              </w:rPr>
              <w:tab/>
            </w:r>
            <w:r w:rsidR="0001294F" w:rsidRPr="00545A13">
              <w:rPr>
                <w:rStyle w:val="Hyperlink"/>
                <w:noProof/>
              </w:rPr>
              <w:t>Performance reporting</w:t>
            </w:r>
            <w:r w:rsidR="0001294F">
              <w:rPr>
                <w:noProof/>
                <w:webHidden/>
              </w:rPr>
              <w:tab/>
            </w:r>
            <w:r w:rsidR="0001294F">
              <w:rPr>
                <w:noProof/>
                <w:webHidden/>
              </w:rPr>
              <w:fldChar w:fldCharType="begin"/>
            </w:r>
            <w:r w:rsidR="0001294F">
              <w:rPr>
                <w:noProof/>
                <w:webHidden/>
              </w:rPr>
              <w:instrText xml:space="preserve"> PAGEREF _Toc75332415 \h </w:instrText>
            </w:r>
            <w:r w:rsidR="0001294F">
              <w:rPr>
                <w:noProof/>
                <w:webHidden/>
              </w:rPr>
            </w:r>
            <w:r w:rsidR="0001294F">
              <w:rPr>
                <w:noProof/>
                <w:webHidden/>
              </w:rPr>
              <w:fldChar w:fldCharType="separate"/>
            </w:r>
            <w:r w:rsidR="0008663E">
              <w:rPr>
                <w:noProof/>
                <w:webHidden/>
              </w:rPr>
              <w:t>12</w:t>
            </w:r>
            <w:r w:rsidR="0001294F">
              <w:rPr>
                <w:noProof/>
                <w:webHidden/>
              </w:rPr>
              <w:fldChar w:fldCharType="end"/>
            </w:r>
          </w:hyperlink>
        </w:p>
        <w:p w14:paraId="2F0B3D60" w14:textId="15C25342" w:rsidR="0001294F" w:rsidRDefault="004F2AA8">
          <w:pPr>
            <w:pStyle w:val="TOC1"/>
            <w:rPr>
              <w:rFonts w:asciiTheme="minorHAnsi" w:eastAsiaTheme="minorEastAsia" w:hAnsiTheme="minorHAnsi"/>
              <w:b w:val="0"/>
              <w:noProof/>
              <w:lang w:eastAsia="en-GB"/>
            </w:rPr>
          </w:pPr>
          <w:hyperlink w:anchor="_Toc75332416" w:history="1">
            <w:r w:rsidR="0001294F" w:rsidRPr="00545A13">
              <w:rPr>
                <w:rStyle w:val="Hyperlink"/>
                <w:noProof/>
              </w:rPr>
              <w:t>9</w:t>
            </w:r>
            <w:r w:rsidR="0001294F">
              <w:rPr>
                <w:rFonts w:asciiTheme="minorHAnsi" w:eastAsiaTheme="minorEastAsia" w:hAnsiTheme="minorHAnsi"/>
                <w:b w:val="0"/>
                <w:noProof/>
                <w:lang w:eastAsia="en-GB"/>
              </w:rPr>
              <w:tab/>
            </w:r>
            <w:r w:rsidR="0001294F" w:rsidRPr="00545A13">
              <w:rPr>
                <w:rStyle w:val="Hyperlink"/>
                <w:noProof/>
              </w:rPr>
              <w:t>Improving performance</w:t>
            </w:r>
            <w:r w:rsidR="0001294F">
              <w:rPr>
                <w:noProof/>
                <w:webHidden/>
              </w:rPr>
              <w:tab/>
            </w:r>
            <w:r w:rsidR="0001294F">
              <w:rPr>
                <w:noProof/>
                <w:webHidden/>
              </w:rPr>
              <w:fldChar w:fldCharType="begin"/>
            </w:r>
            <w:r w:rsidR="0001294F">
              <w:rPr>
                <w:noProof/>
                <w:webHidden/>
              </w:rPr>
              <w:instrText xml:space="preserve"> PAGEREF _Toc75332416 \h </w:instrText>
            </w:r>
            <w:r w:rsidR="0001294F">
              <w:rPr>
                <w:noProof/>
                <w:webHidden/>
              </w:rPr>
            </w:r>
            <w:r w:rsidR="0001294F">
              <w:rPr>
                <w:noProof/>
                <w:webHidden/>
              </w:rPr>
              <w:fldChar w:fldCharType="separate"/>
            </w:r>
            <w:r w:rsidR="0008663E">
              <w:rPr>
                <w:noProof/>
                <w:webHidden/>
              </w:rPr>
              <w:t>13</w:t>
            </w:r>
            <w:r w:rsidR="0001294F">
              <w:rPr>
                <w:noProof/>
                <w:webHidden/>
              </w:rPr>
              <w:fldChar w:fldCharType="end"/>
            </w:r>
          </w:hyperlink>
        </w:p>
        <w:p w14:paraId="5D3E530E" w14:textId="4F958B56" w:rsidR="0001294F" w:rsidRDefault="004F2AA8">
          <w:pPr>
            <w:pStyle w:val="TOC1"/>
            <w:rPr>
              <w:rFonts w:asciiTheme="minorHAnsi" w:eastAsiaTheme="minorEastAsia" w:hAnsiTheme="minorHAnsi"/>
              <w:b w:val="0"/>
              <w:noProof/>
              <w:lang w:eastAsia="en-GB"/>
            </w:rPr>
          </w:pPr>
          <w:hyperlink w:anchor="_Toc75332417" w:history="1">
            <w:r w:rsidR="0001294F" w:rsidRPr="00545A13">
              <w:rPr>
                <w:rStyle w:val="Hyperlink"/>
                <w:noProof/>
              </w:rPr>
              <w:t>10</w:t>
            </w:r>
            <w:r w:rsidR="0001294F">
              <w:rPr>
                <w:rFonts w:asciiTheme="minorHAnsi" w:eastAsiaTheme="minorEastAsia" w:hAnsiTheme="minorHAnsi"/>
                <w:b w:val="0"/>
                <w:noProof/>
                <w:lang w:eastAsia="en-GB"/>
              </w:rPr>
              <w:tab/>
            </w:r>
            <w:r w:rsidR="0001294F" w:rsidRPr="00545A13">
              <w:rPr>
                <w:rStyle w:val="Hyperlink"/>
                <w:noProof/>
              </w:rPr>
              <w:t>Service standards</w:t>
            </w:r>
            <w:r w:rsidR="0001294F">
              <w:rPr>
                <w:noProof/>
                <w:webHidden/>
              </w:rPr>
              <w:tab/>
            </w:r>
            <w:r w:rsidR="0001294F">
              <w:rPr>
                <w:noProof/>
                <w:webHidden/>
              </w:rPr>
              <w:fldChar w:fldCharType="begin"/>
            </w:r>
            <w:r w:rsidR="0001294F">
              <w:rPr>
                <w:noProof/>
                <w:webHidden/>
              </w:rPr>
              <w:instrText xml:space="preserve"> PAGEREF _Toc75332417 \h </w:instrText>
            </w:r>
            <w:r w:rsidR="0001294F">
              <w:rPr>
                <w:noProof/>
                <w:webHidden/>
              </w:rPr>
            </w:r>
            <w:r w:rsidR="0001294F">
              <w:rPr>
                <w:noProof/>
                <w:webHidden/>
              </w:rPr>
              <w:fldChar w:fldCharType="separate"/>
            </w:r>
            <w:r w:rsidR="0008663E">
              <w:rPr>
                <w:noProof/>
                <w:webHidden/>
              </w:rPr>
              <w:t>14</w:t>
            </w:r>
            <w:r w:rsidR="0001294F">
              <w:rPr>
                <w:noProof/>
                <w:webHidden/>
              </w:rPr>
              <w:fldChar w:fldCharType="end"/>
            </w:r>
          </w:hyperlink>
        </w:p>
        <w:p w14:paraId="3B052F5B" w14:textId="3F9AA433" w:rsidR="0001294F" w:rsidRDefault="004F2AA8">
          <w:pPr>
            <w:pStyle w:val="TOC1"/>
            <w:rPr>
              <w:rFonts w:asciiTheme="minorHAnsi" w:eastAsiaTheme="minorEastAsia" w:hAnsiTheme="minorHAnsi"/>
              <w:b w:val="0"/>
              <w:noProof/>
              <w:lang w:eastAsia="en-GB"/>
            </w:rPr>
          </w:pPr>
          <w:hyperlink w:anchor="_Toc75332418" w:history="1">
            <w:r w:rsidR="0001294F" w:rsidRPr="00545A13">
              <w:rPr>
                <w:rStyle w:val="Hyperlink"/>
                <w:noProof/>
              </w:rPr>
              <w:t>11</w:t>
            </w:r>
            <w:r w:rsidR="0001294F">
              <w:rPr>
                <w:rFonts w:asciiTheme="minorHAnsi" w:eastAsiaTheme="minorEastAsia" w:hAnsiTheme="minorHAnsi"/>
                <w:b w:val="0"/>
                <w:noProof/>
                <w:lang w:eastAsia="en-GB"/>
              </w:rPr>
              <w:tab/>
            </w:r>
            <w:r w:rsidR="0001294F" w:rsidRPr="00545A13">
              <w:rPr>
                <w:rStyle w:val="Hyperlink"/>
                <w:noProof/>
              </w:rPr>
              <w:t>Local Pension Board responsibilities</w:t>
            </w:r>
            <w:r w:rsidR="0001294F">
              <w:rPr>
                <w:noProof/>
                <w:webHidden/>
              </w:rPr>
              <w:tab/>
            </w:r>
            <w:r w:rsidR="0001294F">
              <w:rPr>
                <w:noProof/>
                <w:webHidden/>
              </w:rPr>
              <w:fldChar w:fldCharType="begin"/>
            </w:r>
            <w:r w:rsidR="0001294F">
              <w:rPr>
                <w:noProof/>
                <w:webHidden/>
              </w:rPr>
              <w:instrText xml:space="preserve"> PAGEREF _Toc75332418 \h </w:instrText>
            </w:r>
            <w:r w:rsidR="0001294F">
              <w:rPr>
                <w:noProof/>
                <w:webHidden/>
              </w:rPr>
            </w:r>
            <w:r w:rsidR="0001294F">
              <w:rPr>
                <w:noProof/>
                <w:webHidden/>
              </w:rPr>
              <w:fldChar w:fldCharType="separate"/>
            </w:r>
            <w:r w:rsidR="0008663E">
              <w:rPr>
                <w:noProof/>
                <w:webHidden/>
              </w:rPr>
              <w:t>20</w:t>
            </w:r>
            <w:r w:rsidR="0001294F">
              <w:rPr>
                <w:noProof/>
                <w:webHidden/>
              </w:rPr>
              <w:fldChar w:fldCharType="end"/>
            </w:r>
          </w:hyperlink>
        </w:p>
        <w:p w14:paraId="50F685C8" w14:textId="3223C2C5" w:rsidR="0001294F" w:rsidRDefault="004F2AA8">
          <w:pPr>
            <w:pStyle w:val="TOC1"/>
            <w:rPr>
              <w:rFonts w:asciiTheme="minorHAnsi" w:eastAsiaTheme="minorEastAsia" w:hAnsiTheme="minorHAnsi"/>
              <w:b w:val="0"/>
              <w:noProof/>
              <w:lang w:eastAsia="en-GB"/>
            </w:rPr>
          </w:pPr>
          <w:hyperlink w:anchor="_Toc75332419" w:history="1">
            <w:r w:rsidR="0001294F" w:rsidRPr="00545A13">
              <w:rPr>
                <w:rStyle w:val="Hyperlink"/>
                <w:noProof/>
              </w:rPr>
              <w:t>Appendix 1. Standard timescales</w:t>
            </w:r>
            <w:r w:rsidR="0001294F">
              <w:rPr>
                <w:noProof/>
                <w:webHidden/>
              </w:rPr>
              <w:tab/>
            </w:r>
            <w:r w:rsidR="0001294F">
              <w:rPr>
                <w:noProof/>
                <w:webHidden/>
              </w:rPr>
              <w:fldChar w:fldCharType="begin"/>
            </w:r>
            <w:r w:rsidR="0001294F">
              <w:rPr>
                <w:noProof/>
                <w:webHidden/>
              </w:rPr>
              <w:instrText xml:space="preserve"> PAGEREF _Toc75332419 \h </w:instrText>
            </w:r>
            <w:r w:rsidR="0001294F">
              <w:rPr>
                <w:noProof/>
                <w:webHidden/>
              </w:rPr>
            </w:r>
            <w:r w:rsidR="0001294F">
              <w:rPr>
                <w:noProof/>
                <w:webHidden/>
              </w:rPr>
              <w:fldChar w:fldCharType="separate"/>
            </w:r>
            <w:r w:rsidR="0008663E">
              <w:rPr>
                <w:noProof/>
                <w:webHidden/>
              </w:rPr>
              <w:t>21</w:t>
            </w:r>
            <w:r w:rsidR="0001294F">
              <w:rPr>
                <w:noProof/>
                <w:webHidden/>
              </w:rPr>
              <w:fldChar w:fldCharType="end"/>
            </w:r>
          </w:hyperlink>
        </w:p>
        <w:p w14:paraId="1C772DB0" w14:textId="4E1710D7" w:rsidR="0001294F" w:rsidRDefault="004F2AA8">
          <w:pPr>
            <w:pStyle w:val="TOC1"/>
            <w:rPr>
              <w:rFonts w:asciiTheme="minorHAnsi" w:eastAsiaTheme="minorEastAsia" w:hAnsiTheme="minorHAnsi"/>
              <w:b w:val="0"/>
              <w:noProof/>
              <w:lang w:eastAsia="en-GB"/>
            </w:rPr>
          </w:pPr>
          <w:hyperlink w:anchor="_Toc75332420" w:history="1">
            <w:r w:rsidR="0001294F" w:rsidRPr="00545A13">
              <w:rPr>
                <w:rStyle w:val="Hyperlink"/>
                <w:noProof/>
              </w:rPr>
              <w:t>Appendix 2. Template governance policy statement</w:t>
            </w:r>
            <w:r w:rsidR="0001294F">
              <w:rPr>
                <w:noProof/>
                <w:webHidden/>
              </w:rPr>
              <w:tab/>
            </w:r>
            <w:r w:rsidR="0001294F">
              <w:rPr>
                <w:noProof/>
                <w:webHidden/>
              </w:rPr>
              <w:fldChar w:fldCharType="begin"/>
            </w:r>
            <w:r w:rsidR="0001294F">
              <w:rPr>
                <w:noProof/>
                <w:webHidden/>
              </w:rPr>
              <w:instrText xml:space="preserve"> PAGEREF _Toc75332420 \h </w:instrText>
            </w:r>
            <w:r w:rsidR="0001294F">
              <w:rPr>
                <w:noProof/>
                <w:webHidden/>
              </w:rPr>
            </w:r>
            <w:r w:rsidR="0001294F">
              <w:rPr>
                <w:noProof/>
                <w:webHidden/>
              </w:rPr>
              <w:fldChar w:fldCharType="separate"/>
            </w:r>
            <w:r w:rsidR="0008663E">
              <w:rPr>
                <w:noProof/>
                <w:webHidden/>
              </w:rPr>
              <w:t>23</w:t>
            </w:r>
            <w:r w:rsidR="0001294F">
              <w:rPr>
                <w:noProof/>
                <w:webHidden/>
              </w:rPr>
              <w:fldChar w:fldCharType="end"/>
            </w:r>
          </w:hyperlink>
        </w:p>
        <w:p w14:paraId="34C6782F" w14:textId="23207F39" w:rsidR="00316485" w:rsidRDefault="00302899" w:rsidP="00302899">
          <w:pPr>
            <w:pStyle w:val="TOC1"/>
          </w:pPr>
          <w:r>
            <w:fldChar w:fldCharType="end"/>
          </w:r>
        </w:p>
      </w:sdtContent>
    </w:sdt>
    <w:p w14:paraId="099365C3" w14:textId="6B0A0D48" w:rsidR="00203300" w:rsidRDefault="00203300" w:rsidP="00316485">
      <w:pPr>
        <w:pStyle w:val="Heading1"/>
        <w:rPr>
          <w:rStyle w:val="Heading1Char"/>
          <w:sz w:val="32"/>
        </w:rPr>
      </w:pPr>
      <w:bookmarkStart w:id="0" w:name="_Toc44062600"/>
      <w:bookmarkStart w:id="1" w:name="_Toc44062781"/>
      <w:bookmarkStart w:id="2" w:name="_Toc44062601"/>
      <w:bookmarkStart w:id="3" w:name="_Toc44062782"/>
      <w:bookmarkStart w:id="4" w:name="_Toc44062602"/>
      <w:bookmarkStart w:id="5" w:name="_Toc44062783"/>
      <w:bookmarkStart w:id="6" w:name="_Toc44057049"/>
      <w:bookmarkStart w:id="7" w:name="_Toc44059056"/>
      <w:bookmarkStart w:id="8" w:name="_Toc44062603"/>
      <w:bookmarkStart w:id="9" w:name="_Toc44062784"/>
      <w:bookmarkStart w:id="10" w:name="_Toc75332384"/>
      <w:bookmarkEnd w:id="0"/>
      <w:bookmarkEnd w:id="1"/>
      <w:bookmarkEnd w:id="2"/>
      <w:bookmarkEnd w:id="3"/>
      <w:bookmarkEnd w:id="4"/>
      <w:bookmarkEnd w:id="5"/>
      <w:bookmarkEnd w:id="6"/>
      <w:bookmarkEnd w:id="7"/>
      <w:bookmarkEnd w:id="8"/>
      <w:bookmarkEnd w:id="9"/>
      <w:r w:rsidRPr="00316485">
        <w:rPr>
          <w:rStyle w:val="Heading1Char"/>
          <w:sz w:val="36"/>
        </w:rPr>
        <w:t>Background</w:t>
      </w:r>
      <w:bookmarkEnd w:id="10"/>
    </w:p>
    <w:p w14:paraId="38242EC3" w14:textId="77777777" w:rsidR="00950CC0" w:rsidRPr="00E3079E" w:rsidRDefault="00950CC0">
      <w:r w:rsidRPr="00E3079E">
        <w:t xml:space="preserve">In 2018, Aon were commissioned by the Firefighters’ Pensions (England) Scheme Advisory Board (SAB) to undertake a benchmarking review of the administration and management of the Firefighters’ Pension Scheme (FPS). </w:t>
      </w:r>
    </w:p>
    <w:p w14:paraId="5096F9A1" w14:textId="77777777" w:rsidR="00950CC0" w:rsidRPr="00E3079E" w:rsidRDefault="00950CC0" w:rsidP="00950CC0">
      <w:r w:rsidRPr="00E3079E">
        <w:t xml:space="preserve">One of the recommendations made within the report was the implementation of a locally developed pension administration </w:t>
      </w:r>
      <w:r w:rsidR="00DA083F" w:rsidRPr="00E3079E">
        <w:t>strategy</w:t>
      </w:r>
      <w:r w:rsidRPr="00E3079E">
        <w:t xml:space="preserve"> to formalise standards and expectations of the Fire and Rescue Authority (FRA) and their administrator</w:t>
      </w:r>
      <w:r w:rsidR="00DA083F" w:rsidRPr="00E3079E">
        <w:t>:</w:t>
      </w:r>
    </w:p>
    <w:p w14:paraId="78E8B0D7" w14:textId="77777777" w:rsidR="00950CC0" w:rsidRPr="00316485" w:rsidRDefault="00DA083F" w:rsidP="00950CC0">
      <w:pPr>
        <w:pStyle w:val="2ColumnBody"/>
        <w:rPr>
          <w:i/>
          <w:iCs/>
          <w:sz w:val="24"/>
          <w:szCs w:val="24"/>
        </w:rPr>
      </w:pPr>
      <w:r w:rsidRPr="00316485">
        <w:rPr>
          <w:rFonts w:eastAsiaTheme="minorHAnsi" w:cstheme="minorBidi"/>
          <w:i/>
          <w:iCs/>
          <w:sz w:val="24"/>
          <w:szCs w:val="24"/>
        </w:rPr>
        <w:t>“</w:t>
      </w:r>
      <w:r w:rsidR="00950CC0" w:rsidRPr="00316485">
        <w:rPr>
          <w:i/>
          <w:iCs/>
          <w:sz w:val="24"/>
          <w:szCs w:val="24"/>
        </w:rPr>
        <w:t xml:space="preserve">We suggest that the Board considers recommending regulatory changes to encourage best practice among all scheme managers/FRAs and administrators across the Scheme. This could be achieved by setting out requirements for each Scheme Manager to have a locally developed pensions administration strategy in place. This could be mandated but as a minimum it could set out the need to have one to demonstrate best practice (as is the case in other schemes such as the LGPS). An administration strategy should set out the scheme manager's aims and objectives and how those are going to be achieved in conjunction with the administrator. Performance against those aims, and objectives, must then be appropriately measured and monitored and where administration levels are not to the required standard, plans should be in place to address those areas of concern. An administration strategy should be determined locally (with support in doing so made available from centrally prepared guidance). </w:t>
      </w:r>
    </w:p>
    <w:p w14:paraId="11D51115" w14:textId="77777777" w:rsidR="00950CC0" w:rsidRPr="00316485" w:rsidRDefault="00950CC0" w:rsidP="00950CC0">
      <w:pPr>
        <w:pStyle w:val="2ColumnBody"/>
        <w:rPr>
          <w:rFonts w:cs="Arial"/>
          <w:i/>
          <w:iCs/>
          <w:sz w:val="24"/>
          <w:szCs w:val="24"/>
        </w:rPr>
      </w:pPr>
      <w:r w:rsidRPr="00316485">
        <w:rPr>
          <w:rFonts w:cs="Arial"/>
          <w:i/>
          <w:iCs/>
          <w:sz w:val="24"/>
          <w:szCs w:val="24"/>
        </w:rPr>
        <w:t>A range of target timescales should be determined by each FRA and it is good practice for them to be included in an administration strategy. Scheme managers may wish to set shorter timescales or other targets for specific processes rather than relying on legal timescales in all cases. The administration strategy should be publicly available for all stakeholders (including members). It could also set out the consequences of what not ac</w:t>
      </w:r>
      <w:r w:rsidR="00DA083F" w:rsidRPr="00316485">
        <w:rPr>
          <w:rFonts w:cs="Arial"/>
          <w:i/>
          <w:iCs/>
          <w:sz w:val="24"/>
          <w:szCs w:val="24"/>
        </w:rPr>
        <w:t>hieving those targets would be.”</w:t>
      </w:r>
    </w:p>
    <w:p w14:paraId="35FD188A" w14:textId="05AA9123" w:rsidR="00DA083F" w:rsidRPr="00E3079E" w:rsidRDefault="00DA083F" w:rsidP="00950CC0">
      <w:pPr>
        <w:pStyle w:val="2ColumnBody"/>
        <w:rPr>
          <w:rFonts w:cs="Arial"/>
          <w:sz w:val="24"/>
        </w:rPr>
      </w:pPr>
      <w:r w:rsidRPr="00E3079E">
        <w:rPr>
          <w:rFonts w:cs="Arial"/>
          <w:sz w:val="24"/>
        </w:rPr>
        <w:t>While there is no legislative requirement for FRAs to have such a strategy in place, the SAB secretariat have provided this template for authorities to adopt to demonstrate best practice in the administration and management of the FPS. With each of the 4</w:t>
      </w:r>
      <w:r w:rsidR="00F01D8B">
        <w:rPr>
          <w:rFonts w:cs="Arial"/>
          <w:sz w:val="24"/>
        </w:rPr>
        <w:t>4</w:t>
      </w:r>
      <w:r w:rsidRPr="00E3079E">
        <w:rPr>
          <w:rFonts w:cs="Arial"/>
          <w:sz w:val="24"/>
        </w:rPr>
        <w:t xml:space="preserve"> FRAs in England responsible for managing the scheme and making decisions in their own right, this document also seeks to ensure a level of consistency in the service offered to scheme members, with FRAs working in conjunction with their administrator. There are currently 1</w:t>
      </w:r>
      <w:r w:rsidR="008041C8">
        <w:rPr>
          <w:rFonts w:cs="Arial"/>
          <w:sz w:val="24"/>
        </w:rPr>
        <w:t>6</w:t>
      </w:r>
      <w:r w:rsidRPr="00E3079E">
        <w:rPr>
          <w:rFonts w:cs="Arial"/>
          <w:sz w:val="24"/>
        </w:rPr>
        <w:t xml:space="preserve"> different administrators providing administration services across the 4</w:t>
      </w:r>
      <w:r w:rsidR="00F01D8B">
        <w:rPr>
          <w:rFonts w:cs="Arial"/>
          <w:sz w:val="24"/>
        </w:rPr>
        <w:t>4</w:t>
      </w:r>
      <w:r w:rsidRPr="00E3079E">
        <w:rPr>
          <w:rFonts w:cs="Arial"/>
          <w:sz w:val="24"/>
        </w:rPr>
        <w:t xml:space="preserve"> FRAs.</w:t>
      </w:r>
    </w:p>
    <w:p w14:paraId="49A32BAA" w14:textId="0EC38A45" w:rsidR="00815E73" w:rsidRPr="00E3079E" w:rsidRDefault="00E23D70" w:rsidP="00950CC0">
      <w:pPr>
        <w:pStyle w:val="2ColumnBody"/>
        <w:rPr>
          <w:rFonts w:cs="Arial"/>
          <w:sz w:val="24"/>
        </w:rPr>
      </w:pPr>
      <w:r w:rsidRPr="00E3079E">
        <w:rPr>
          <w:rFonts w:cs="Arial"/>
          <w:sz w:val="24"/>
        </w:rPr>
        <w:lastRenderedPageBreak/>
        <w:t xml:space="preserve">As the FRA as </w:t>
      </w:r>
      <w:hyperlink r:id="rId14" w:history="1">
        <w:r w:rsidRPr="00F544DA">
          <w:rPr>
            <w:rStyle w:val="Hyperlink"/>
            <w:rFonts w:cs="Arial"/>
            <w:sz w:val="24"/>
          </w:rPr>
          <w:t>scheme manager</w:t>
        </w:r>
      </w:hyperlink>
      <w:r w:rsidR="00F235AB" w:rsidRPr="00E3079E">
        <w:rPr>
          <w:rFonts w:cs="Arial"/>
          <w:sz w:val="24"/>
        </w:rPr>
        <w:t xml:space="preserve"> </w:t>
      </w:r>
      <w:r w:rsidRPr="00E3079E">
        <w:rPr>
          <w:rFonts w:cs="Arial"/>
          <w:sz w:val="24"/>
        </w:rPr>
        <w:t xml:space="preserve">has responsibility for </w:t>
      </w:r>
      <w:r w:rsidR="008A5327" w:rsidRPr="00E3079E">
        <w:rPr>
          <w:rFonts w:cs="Arial"/>
          <w:sz w:val="24"/>
        </w:rPr>
        <w:t xml:space="preserve">both </w:t>
      </w:r>
      <w:r w:rsidRPr="00E3079E">
        <w:rPr>
          <w:rFonts w:cs="Arial"/>
          <w:sz w:val="24"/>
        </w:rPr>
        <w:t xml:space="preserve">administering and managing the scheme, it was determined by the SAB </w:t>
      </w:r>
      <w:hyperlink r:id="rId15" w:history="1">
        <w:r w:rsidRPr="00E3079E">
          <w:rPr>
            <w:rStyle w:val="Hyperlink"/>
            <w:rFonts w:cs="Arial"/>
            <w:sz w:val="24"/>
          </w:rPr>
          <w:t>Administration and Benchmarking committee</w:t>
        </w:r>
      </w:hyperlink>
      <w:r w:rsidRPr="00E3079E">
        <w:rPr>
          <w:rFonts w:cs="Arial"/>
          <w:sz w:val="24"/>
        </w:rPr>
        <w:t xml:space="preserve"> (</w:t>
      </w:r>
      <w:r w:rsidR="005D6784" w:rsidRPr="00E3079E">
        <w:rPr>
          <w:rFonts w:cs="Arial"/>
          <w:sz w:val="24"/>
        </w:rPr>
        <w:t>“</w:t>
      </w:r>
      <w:r w:rsidRPr="00E3079E">
        <w:rPr>
          <w:rFonts w:cs="Arial"/>
          <w:sz w:val="24"/>
        </w:rPr>
        <w:t>the Committee</w:t>
      </w:r>
      <w:r w:rsidR="005D6784" w:rsidRPr="00E3079E">
        <w:rPr>
          <w:rFonts w:cs="Arial"/>
          <w:sz w:val="24"/>
        </w:rPr>
        <w:t>”</w:t>
      </w:r>
      <w:r w:rsidRPr="00E3079E">
        <w:rPr>
          <w:rFonts w:cs="Arial"/>
          <w:sz w:val="24"/>
        </w:rPr>
        <w:t xml:space="preserve">) that the scope of the document be extended to include </w:t>
      </w:r>
      <w:r w:rsidR="008A5327" w:rsidRPr="00E3079E">
        <w:rPr>
          <w:rFonts w:cs="Arial"/>
          <w:sz w:val="24"/>
        </w:rPr>
        <w:t>each</w:t>
      </w:r>
      <w:r w:rsidRPr="00E3079E">
        <w:rPr>
          <w:rFonts w:cs="Arial"/>
          <w:sz w:val="24"/>
        </w:rPr>
        <w:t xml:space="preserve"> of these roles, and</w:t>
      </w:r>
      <w:r w:rsidR="007F65BE">
        <w:rPr>
          <w:rFonts w:cs="Arial"/>
          <w:sz w:val="24"/>
        </w:rPr>
        <w:t xml:space="preserve"> </w:t>
      </w:r>
      <w:r w:rsidRPr="00E3079E">
        <w:rPr>
          <w:rFonts w:cs="Arial"/>
          <w:sz w:val="24"/>
        </w:rPr>
        <w:t xml:space="preserve">that the expectations of Local Pension Boards in their role of assisting the scheme manager should also be included. </w:t>
      </w:r>
    </w:p>
    <w:p w14:paraId="13CF082E" w14:textId="04D5D7B4" w:rsidR="00E23D70" w:rsidRPr="00E3079E" w:rsidRDefault="00815E73" w:rsidP="00950CC0">
      <w:pPr>
        <w:pStyle w:val="2ColumnBody"/>
        <w:rPr>
          <w:rFonts w:cs="Arial"/>
          <w:sz w:val="24"/>
        </w:rPr>
      </w:pPr>
      <w:r w:rsidRPr="00E3079E">
        <w:rPr>
          <w:rFonts w:cs="Arial"/>
          <w:sz w:val="24"/>
        </w:rPr>
        <w:t>Th</w:t>
      </w:r>
      <w:r w:rsidR="00E23D70" w:rsidRPr="00E3079E">
        <w:rPr>
          <w:rFonts w:cs="Arial"/>
          <w:sz w:val="24"/>
        </w:rPr>
        <w:t xml:space="preserve">is document has been prepared by the SAB secretariat in conjunction with the Committee and the Fire </w:t>
      </w:r>
      <w:r w:rsidRPr="00E3079E">
        <w:rPr>
          <w:rFonts w:cs="Arial"/>
          <w:sz w:val="24"/>
        </w:rPr>
        <w:t>C</w:t>
      </w:r>
      <w:r w:rsidR="00E23D70" w:rsidRPr="00E3079E">
        <w:rPr>
          <w:rFonts w:cs="Arial"/>
          <w:sz w:val="24"/>
        </w:rPr>
        <w:t xml:space="preserve">ommunications Working Group. </w:t>
      </w:r>
      <w:r w:rsidR="004C27A6">
        <w:rPr>
          <w:rFonts w:cs="Arial"/>
          <w:sz w:val="24"/>
        </w:rPr>
        <w:t>Our thanks go to the following organisations for</w:t>
      </w:r>
      <w:r w:rsidR="00433384">
        <w:rPr>
          <w:rFonts w:cs="Arial"/>
          <w:sz w:val="24"/>
        </w:rPr>
        <w:t xml:space="preserve"> assistance with the project:</w:t>
      </w:r>
      <w:r w:rsidR="00E23D70" w:rsidRPr="00E3079E">
        <w:rPr>
          <w:rFonts w:cs="Arial"/>
          <w:sz w:val="24"/>
        </w:rPr>
        <w:t xml:space="preserve"> Shropshire Pension Fund, West Yorkshire Pension Fun</w:t>
      </w:r>
      <w:r w:rsidR="00433384">
        <w:rPr>
          <w:rFonts w:cs="Arial"/>
          <w:sz w:val="24"/>
        </w:rPr>
        <w:t>d, and</w:t>
      </w:r>
      <w:r w:rsidR="00527A41">
        <w:rPr>
          <w:rFonts w:cs="Arial"/>
          <w:sz w:val="24"/>
        </w:rPr>
        <w:t xml:space="preserve"> Leicestershire County Council</w:t>
      </w:r>
      <w:r w:rsidR="00E23D70" w:rsidRPr="00E3079E">
        <w:rPr>
          <w:rFonts w:cs="Arial"/>
          <w:sz w:val="24"/>
        </w:rPr>
        <w:t>.</w:t>
      </w:r>
    </w:p>
    <w:p w14:paraId="08798403" w14:textId="402A38E5" w:rsidR="002168F1" w:rsidRDefault="004F6622" w:rsidP="00316485">
      <w:pPr>
        <w:pStyle w:val="Heading1"/>
      </w:pPr>
      <w:bookmarkStart w:id="11" w:name="_Toc75332385"/>
      <w:r w:rsidRPr="00CC1269">
        <w:t>Introduction</w:t>
      </w:r>
      <w:bookmarkEnd w:id="11"/>
    </w:p>
    <w:p w14:paraId="392149DA" w14:textId="7B8E9CA4" w:rsidR="00740F60" w:rsidRDefault="004F6622" w:rsidP="004F6622">
      <w:r w:rsidRPr="00E3079E">
        <w:t>[</w:t>
      </w:r>
      <w:r w:rsidRPr="00E3079E">
        <w:rPr>
          <w:highlight w:val="yellow"/>
        </w:rPr>
        <w:t>INSERT NAME Fire and Rescue Authority</w:t>
      </w:r>
      <w:r w:rsidR="00016E62" w:rsidRPr="00E3079E">
        <w:rPr>
          <w:highlight w:val="yellow"/>
        </w:rPr>
        <w:t xml:space="preserve">/ PFCC/ London Fire </w:t>
      </w:r>
      <w:proofErr w:type="gramStart"/>
      <w:r w:rsidR="00016E62" w:rsidRPr="00E3079E">
        <w:rPr>
          <w:highlight w:val="yellow"/>
        </w:rPr>
        <w:t>Commissioner</w:t>
      </w:r>
      <w:r w:rsidR="00F235AB" w:rsidRPr="00E3079E">
        <w:t>]</w:t>
      </w:r>
      <w:r w:rsidR="00F34731" w:rsidRPr="00E3079E">
        <w:t xml:space="preserve"> </w:t>
      </w:r>
      <w:r w:rsidRPr="00E3079E">
        <w:t xml:space="preserve"> </w:t>
      </w:r>
      <w:r w:rsidR="00016E62" w:rsidRPr="00E3079E">
        <w:t>is</w:t>
      </w:r>
      <w:proofErr w:type="gramEnd"/>
      <w:r w:rsidR="00016E62" w:rsidRPr="00E3079E">
        <w:t xml:space="preserve"> </w:t>
      </w:r>
      <w:r w:rsidRPr="00E3079E">
        <w:t>defined in law as the scheme manager</w:t>
      </w:r>
      <w:r w:rsidR="00FC07E1">
        <w:rPr>
          <w:rStyle w:val="FootnoteReference"/>
        </w:rPr>
        <w:footnoteReference w:id="1"/>
      </w:r>
      <w:r w:rsidRPr="00E3079E">
        <w:t xml:space="preserve"> and</w:t>
      </w:r>
      <w:r w:rsidR="00016E62" w:rsidRPr="00E3079E">
        <w:t xml:space="preserve"> is</w:t>
      </w:r>
      <w:r w:rsidRPr="00E3079E">
        <w:t xml:space="preserve"> therefore responsible for </w:t>
      </w:r>
      <w:r w:rsidR="00F235AB" w:rsidRPr="00E3079E">
        <w:t xml:space="preserve">the </w:t>
      </w:r>
      <w:r w:rsidRPr="00E3079E">
        <w:t xml:space="preserve">management and administration of the </w:t>
      </w:r>
      <w:r w:rsidR="00016E62" w:rsidRPr="00E3079E">
        <w:t>Firefighters’ Pensions Schemes for scheme members employed by [</w:t>
      </w:r>
      <w:r w:rsidR="00016E62" w:rsidRPr="00E3079E">
        <w:rPr>
          <w:highlight w:val="yellow"/>
        </w:rPr>
        <w:t>INSERT NAME of Fire and Rescue Service</w:t>
      </w:r>
      <w:r w:rsidR="00016E62" w:rsidRPr="00E3079E">
        <w:t>].</w:t>
      </w:r>
    </w:p>
    <w:p w14:paraId="344DABD8" w14:textId="2419E01A" w:rsidR="00FF38FB" w:rsidRDefault="004744F5" w:rsidP="004F6622">
      <w:r>
        <w:t>Although the scheme manager function can be delegated</w:t>
      </w:r>
      <w:r w:rsidR="00EE132C">
        <w:rPr>
          <w:rStyle w:val="FootnoteReference"/>
        </w:rPr>
        <w:footnoteReference w:id="2"/>
      </w:r>
      <w:r>
        <w:t xml:space="preserve"> within the authority, </w:t>
      </w:r>
      <w:r w:rsidR="00FF38FB" w:rsidRPr="00E3079E">
        <w:t>[</w:t>
      </w:r>
      <w:r w:rsidR="00FF38FB" w:rsidRPr="00E3079E">
        <w:rPr>
          <w:highlight w:val="yellow"/>
        </w:rPr>
        <w:t>INSERT NAME Fire and Rescue Authority/ PFCC/ London Fire Commissioner</w:t>
      </w:r>
      <w:r w:rsidR="00FF38FB" w:rsidRPr="00E3079E">
        <w:t xml:space="preserve">] </w:t>
      </w:r>
      <w:r w:rsidR="00A7104F">
        <w:t xml:space="preserve">retains legal responsibility for the scheme. </w:t>
      </w:r>
      <w:r w:rsidR="00FF38FB">
        <w:t>In the employer role,</w:t>
      </w:r>
      <w:r w:rsidR="004469D3">
        <w:t xml:space="preserve"> </w:t>
      </w:r>
      <w:r w:rsidR="004469D3" w:rsidRPr="00E3079E">
        <w:t>[</w:t>
      </w:r>
      <w:r w:rsidR="004469D3" w:rsidRPr="00E3079E">
        <w:rPr>
          <w:highlight w:val="yellow"/>
        </w:rPr>
        <w:t>INSERT NAME of Fire and Rescue Service</w:t>
      </w:r>
      <w:r w:rsidR="004469D3" w:rsidRPr="00E3079E">
        <w:t>]</w:t>
      </w:r>
      <w:r w:rsidR="004469D3">
        <w:t xml:space="preserve"> will provide </w:t>
      </w:r>
      <w:r w:rsidR="00E01063">
        <w:t xml:space="preserve">pension related functions </w:t>
      </w:r>
      <w:r w:rsidR="004469D3">
        <w:t xml:space="preserve">such as </w:t>
      </w:r>
      <w:r w:rsidR="004469D3" w:rsidRPr="00405329">
        <w:rPr>
          <w:highlight w:val="yellow"/>
        </w:rPr>
        <w:t>HR</w:t>
      </w:r>
      <w:r w:rsidR="00E01063" w:rsidRPr="00405329">
        <w:rPr>
          <w:highlight w:val="yellow"/>
        </w:rPr>
        <w:t>, finance,</w:t>
      </w:r>
      <w:r w:rsidR="004469D3" w:rsidRPr="00405329">
        <w:rPr>
          <w:highlight w:val="yellow"/>
        </w:rPr>
        <w:t xml:space="preserve"> and payroll</w:t>
      </w:r>
      <w:r w:rsidR="004469D3">
        <w:t xml:space="preserve">. </w:t>
      </w:r>
    </w:p>
    <w:p w14:paraId="7C7636E0" w14:textId="105B8E45" w:rsidR="00016E62" w:rsidRPr="00E3079E" w:rsidRDefault="000E56E8" w:rsidP="004F6622">
      <w:r>
        <w:t xml:space="preserve">Administration is generally outsourced to a third party. </w:t>
      </w:r>
      <w:r w:rsidR="00016E62" w:rsidRPr="00E3079E">
        <w:t>Administration of the scheme has been outsourced to [</w:t>
      </w:r>
      <w:r w:rsidR="00016E62" w:rsidRPr="00E3079E">
        <w:rPr>
          <w:highlight w:val="yellow"/>
        </w:rPr>
        <w:t>INSERT NAME of administrator</w:t>
      </w:r>
      <w:r w:rsidR="00016E62" w:rsidRPr="00E3079E">
        <w:t xml:space="preserve">]. </w:t>
      </w:r>
    </w:p>
    <w:p w14:paraId="2CFA35D2" w14:textId="0F6B70A7" w:rsidR="00016E62" w:rsidRDefault="00016E62" w:rsidP="004F6622">
      <w:r w:rsidRPr="00E3079E">
        <w:t>This document is the FPS Administration, Management, and Governance Strategy statement which outlines formal standards and expectations of the Fire and Rescue Authority (FRA) and their administrator, along with expectations of the Local Pension Board</w:t>
      </w:r>
      <w:r w:rsidR="00AF0FD3">
        <w:rPr>
          <w:rStyle w:val="FootnoteReference"/>
        </w:rPr>
        <w:footnoteReference w:id="3"/>
      </w:r>
      <w:r w:rsidRPr="00E3079E">
        <w:t xml:space="preserve"> in their role of assisting the scheme manager.</w:t>
      </w:r>
    </w:p>
    <w:p w14:paraId="27CD7C6E" w14:textId="4A211D02" w:rsidR="00902C7A" w:rsidRPr="00E3079E" w:rsidRDefault="00902C7A" w:rsidP="004F6622">
      <w:r>
        <w:t xml:space="preserve">A template governance policy statement is included at </w:t>
      </w:r>
      <w:hyperlink w:anchor="_Appendix_2._Template" w:history="1">
        <w:r w:rsidRPr="007532DE">
          <w:rPr>
            <w:rStyle w:val="Hyperlink"/>
          </w:rPr>
          <w:t>Appendix 2</w:t>
        </w:r>
      </w:hyperlink>
      <w:r w:rsidR="007532DE">
        <w:t>.</w:t>
      </w:r>
    </w:p>
    <w:p w14:paraId="2322C834" w14:textId="7D0ADF88" w:rsidR="00016E62" w:rsidRPr="00E3079E" w:rsidRDefault="00016E62" w:rsidP="004F6622">
      <w:r w:rsidRPr="00E3079E">
        <w:t xml:space="preserve">The aim of the document is to ensure that a </w:t>
      </w:r>
      <w:r w:rsidR="008B5361" w:rsidRPr="00E3079E">
        <w:t xml:space="preserve">consistent, </w:t>
      </w:r>
      <w:r w:rsidRPr="00E3079E">
        <w:t xml:space="preserve">cost-effective, </w:t>
      </w:r>
      <w:r w:rsidR="008B5361" w:rsidRPr="00E3079E">
        <w:t>and high</w:t>
      </w:r>
      <w:r w:rsidR="00C32729">
        <w:t>-</w:t>
      </w:r>
      <w:r w:rsidR="008B5361" w:rsidRPr="00E3079E">
        <w:t>quality pension s</w:t>
      </w:r>
      <w:r w:rsidR="00815E73" w:rsidRPr="00E3079E">
        <w:t xml:space="preserve">ervice is provided to members, recognising that full and transparent collaboration between stakeholders is key to achieving this aim. </w:t>
      </w:r>
    </w:p>
    <w:p w14:paraId="7DA9D718" w14:textId="1FCF549D" w:rsidR="00C3197F" w:rsidRDefault="00C3197F" w:rsidP="00316485">
      <w:pPr>
        <w:pStyle w:val="Heading1"/>
      </w:pPr>
      <w:bookmarkStart w:id="12" w:name="_Toc44057052"/>
      <w:bookmarkStart w:id="13" w:name="_Toc44059059"/>
      <w:bookmarkStart w:id="14" w:name="_Toc44062606"/>
      <w:bookmarkStart w:id="15" w:name="_Toc44062787"/>
      <w:bookmarkStart w:id="16" w:name="_Toc75332386"/>
      <w:bookmarkEnd w:id="12"/>
      <w:bookmarkEnd w:id="13"/>
      <w:bookmarkEnd w:id="14"/>
      <w:bookmarkEnd w:id="15"/>
      <w:r>
        <w:t>Compliance</w:t>
      </w:r>
      <w:bookmarkEnd w:id="16"/>
    </w:p>
    <w:p w14:paraId="5D385DED" w14:textId="513A6396" w:rsidR="00820088" w:rsidRPr="00E3079E" w:rsidRDefault="00815E73" w:rsidP="00815E73">
      <w:r w:rsidRPr="00E3079E">
        <w:t xml:space="preserve">The following stakeholders have been consulted in the development of this statement: (delete as appropriate) </w:t>
      </w:r>
      <w:r w:rsidRPr="00E3079E">
        <w:rPr>
          <w:highlight w:val="yellow"/>
        </w:rPr>
        <w:t xml:space="preserve">Local Pension Board; administrator [INSERT NAME]; software provider [INSERT NAME]; </w:t>
      </w:r>
      <w:r w:rsidR="00820088" w:rsidRPr="00E3079E">
        <w:rPr>
          <w:highlight w:val="yellow"/>
        </w:rPr>
        <w:t>other [INSERT DETAILS</w:t>
      </w:r>
      <w:r w:rsidR="00820088" w:rsidRPr="00E3079E">
        <w:t>].</w:t>
      </w:r>
    </w:p>
    <w:p w14:paraId="5D37F74D" w14:textId="105F338C" w:rsidR="00820088" w:rsidRPr="00E3079E" w:rsidRDefault="00820088" w:rsidP="00815E73">
      <w:r w:rsidRPr="00E3079E">
        <w:lastRenderedPageBreak/>
        <w:t>The scheme manager is the owner of the document. A copy can be found at [</w:t>
      </w:r>
      <w:r w:rsidRPr="00E3079E">
        <w:rPr>
          <w:highlight w:val="yellow"/>
        </w:rPr>
        <w:t>INSERT WEB ADDRESS</w:t>
      </w:r>
      <w:r w:rsidRPr="00E3079E">
        <w:t xml:space="preserve">]. </w:t>
      </w:r>
    </w:p>
    <w:p w14:paraId="617DEFC3" w14:textId="69C2FDF7" w:rsidR="004670F2" w:rsidRPr="00E3079E" w:rsidRDefault="00820088" w:rsidP="00815E73">
      <w:r w:rsidRPr="00E3079E">
        <w:t>This strategy does not override any provision contained with the scheme regulations or any administration guidance provided by the Local Government Association (LGA).</w:t>
      </w:r>
    </w:p>
    <w:p w14:paraId="0FC8065E" w14:textId="56F471D7" w:rsidR="004469D3" w:rsidRDefault="004670F2">
      <w:r w:rsidRPr="00E3079E">
        <w:t>The document has been presented, considered, and ratified by the Local Pension Board on [</w:t>
      </w:r>
      <w:r w:rsidRPr="00E3079E">
        <w:rPr>
          <w:highlight w:val="yellow"/>
        </w:rPr>
        <w:t>INSERT DATE</w:t>
      </w:r>
      <w:r w:rsidRPr="00E3079E">
        <w:t>] and applies to all interested parties from this date.</w:t>
      </w:r>
    </w:p>
    <w:p w14:paraId="07A8FB60" w14:textId="111FFE32" w:rsidR="00820088" w:rsidRDefault="00820088" w:rsidP="00316485">
      <w:pPr>
        <w:pStyle w:val="Heading1"/>
      </w:pPr>
      <w:bookmarkStart w:id="17" w:name="_Toc44057054"/>
      <w:bookmarkStart w:id="18" w:name="_Toc44059061"/>
      <w:bookmarkStart w:id="19" w:name="_Toc44062608"/>
      <w:bookmarkStart w:id="20" w:name="_Toc44062789"/>
      <w:bookmarkStart w:id="21" w:name="_Toc75332387"/>
      <w:bookmarkEnd w:id="17"/>
      <w:bookmarkEnd w:id="18"/>
      <w:bookmarkEnd w:id="19"/>
      <w:bookmarkEnd w:id="20"/>
      <w:r>
        <w:t>Review</w:t>
      </w:r>
      <w:bookmarkEnd w:id="21"/>
      <w:r>
        <w:t xml:space="preserve"> </w:t>
      </w:r>
    </w:p>
    <w:p w14:paraId="78C04054" w14:textId="77777777" w:rsidR="00820088" w:rsidRPr="00E3079E" w:rsidRDefault="00820088">
      <w:r w:rsidRPr="00E3079E">
        <w:t xml:space="preserve">The strategy will be reviewed following any changes to scheme rules, processes, or procedures which affect this strategy, including a change of administrator, or every three years if this is sooner. </w:t>
      </w:r>
    </w:p>
    <w:p w14:paraId="6C54C8A5" w14:textId="213177EA" w:rsidR="00820088" w:rsidRPr="00E3079E" w:rsidRDefault="00820088" w:rsidP="00820088">
      <w:r w:rsidRPr="00E3079E">
        <w:t>Changes will be made following consultation with the above</w:t>
      </w:r>
      <w:r w:rsidR="00C32729">
        <w:t>-</w:t>
      </w:r>
      <w:r w:rsidRPr="00E3079E">
        <w:t xml:space="preserve">named bodies and a copy of the updated strategy will be made available online. </w:t>
      </w:r>
      <w:r w:rsidR="00261CA1" w:rsidRPr="00E3079E">
        <w:t xml:space="preserve">Full consultation will not take place when there has been a change of contacts details only in 5.1 or 5.2 below. </w:t>
      </w:r>
    </w:p>
    <w:p w14:paraId="6D46BA9E" w14:textId="39159451" w:rsidR="00D853DD" w:rsidRDefault="00820088" w:rsidP="00C3197F">
      <w:r w:rsidRPr="00E3079E">
        <w:t xml:space="preserve">Suggestions for improvement to this strategy are welcome from stakeholders at any time. </w:t>
      </w:r>
    </w:p>
    <w:p w14:paraId="4D723EDA" w14:textId="6B6D5B57" w:rsidR="00820088" w:rsidRDefault="00820088" w:rsidP="00316485">
      <w:pPr>
        <w:pStyle w:val="Heading1"/>
      </w:pPr>
      <w:bookmarkStart w:id="22" w:name="_Toc75332388"/>
      <w:r>
        <w:t>Liaison and communication</w:t>
      </w:r>
      <w:bookmarkEnd w:id="22"/>
    </w:p>
    <w:p w14:paraId="4C411FA5" w14:textId="40EB07E6" w:rsidR="00820088" w:rsidRDefault="00E01063">
      <w:pPr>
        <w:pStyle w:val="Heading2"/>
      </w:pPr>
      <w:bookmarkStart w:id="23" w:name="_Toc14965073"/>
      <w:bookmarkStart w:id="24" w:name="_Toc15388585"/>
      <w:bookmarkStart w:id="25" w:name="_Toc22044194"/>
      <w:bookmarkStart w:id="26" w:name="_Toc33081795"/>
      <w:bookmarkStart w:id="27" w:name="_Toc40861285"/>
      <w:bookmarkStart w:id="28" w:name="_Toc43465693"/>
      <w:bookmarkStart w:id="29" w:name="_Toc43466427"/>
      <w:bookmarkStart w:id="30" w:name="_Toc43993424"/>
      <w:bookmarkStart w:id="31" w:name="_Toc44057057"/>
      <w:bookmarkStart w:id="32" w:name="_Toc44059064"/>
      <w:bookmarkStart w:id="33" w:name="_Toc44062611"/>
      <w:bookmarkStart w:id="34" w:name="_Toc44062792"/>
      <w:bookmarkStart w:id="35" w:name="_Toc14965074"/>
      <w:bookmarkStart w:id="36" w:name="_Toc15388586"/>
      <w:bookmarkStart w:id="37" w:name="_Toc22044195"/>
      <w:bookmarkStart w:id="38" w:name="_Toc33081796"/>
      <w:bookmarkStart w:id="39" w:name="_Toc40861286"/>
      <w:bookmarkStart w:id="40" w:name="_Toc43465694"/>
      <w:bookmarkStart w:id="41" w:name="_Toc43466428"/>
      <w:bookmarkStart w:id="42" w:name="_Toc43993425"/>
      <w:bookmarkStart w:id="43" w:name="_Toc44057058"/>
      <w:bookmarkStart w:id="44" w:name="_Toc44059065"/>
      <w:bookmarkStart w:id="45" w:name="_Toc44062612"/>
      <w:bookmarkStart w:id="46" w:name="_Toc44062793"/>
      <w:bookmarkStart w:id="47" w:name="_Toc14965075"/>
      <w:bookmarkStart w:id="48" w:name="_Toc15388587"/>
      <w:bookmarkStart w:id="49" w:name="_Toc22044196"/>
      <w:bookmarkStart w:id="50" w:name="_Toc33081797"/>
      <w:bookmarkStart w:id="51" w:name="_Toc40861287"/>
      <w:bookmarkStart w:id="52" w:name="_Toc43465695"/>
      <w:bookmarkStart w:id="53" w:name="_Toc43466429"/>
      <w:bookmarkStart w:id="54" w:name="_Toc43993426"/>
      <w:bookmarkStart w:id="55" w:name="_Toc44057059"/>
      <w:bookmarkStart w:id="56" w:name="_Toc44059066"/>
      <w:bookmarkStart w:id="57" w:name="_Toc44062613"/>
      <w:bookmarkStart w:id="58" w:name="_Toc44062794"/>
      <w:bookmarkStart w:id="59" w:name="_Toc14965076"/>
      <w:bookmarkStart w:id="60" w:name="_Toc15388588"/>
      <w:bookmarkStart w:id="61" w:name="_Toc22044197"/>
      <w:bookmarkStart w:id="62" w:name="_Toc33081798"/>
      <w:bookmarkStart w:id="63" w:name="_Toc40861288"/>
      <w:bookmarkStart w:id="64" w:name="_Toc43465696"/>
      <w:bookmarkStart w:id="65" w:name="_Toc43466430"/>
      <w:bookmarkStart w:id="66" w:name="_Toc43993427"/>
      <w:bookmarkStart w:id="67" w:name="_Toc44057060"/>
      <w:bookmarkStart w:id="68" w:name="_Toc44059067"/>
      <w:bookmarkStart w:id="69" w:name="_Toc44062614"/>
      <w:bookmarkStart w:id="70" w:name="_Toc44062795"/>
      <w:bookmarkStart w:id="71" w:name="_Toc14965077"/>
      <w:bookmarkStart w:id="72" w:name="_Toc15388589"/>
      <w:bookmarkStart w:id="73" w:name="_Toc22044198"/>
      <w:bookmarkStart w:id="74" w:name="_Toc33081799"/>
      <w:bookmarkStart w:id="75" w:name="_Toc40861289"/>
      <w:bookmarkStart w:id="76" w:name="_Toc43465697"/>
      <w:bookmarkStart w:id="77" w:name="_Toc43466431"/>
      <w:bookmarkStart w:id="78" w:name="_Toc43993428"/>
      <w:bookmarkStart w:id="79" w:name="_Toc44057061"/>
      <w:bookmarkStart w:id="80" w:name="_Toc44059068"/>
      <w:bookmarkStart w:id="81" w:name="_Toc44062615"/>
      <w:bookmarkStart w:id="82" w:name="_Toc44062796"/>
      <w:bookmarkStart w:id="83" w:name="_Toc75332389"/>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r>
        <w:t>FRA</w:t>
      </w:r>
      <w:r w:rsidRPr="00F34731">
        <w:t xml:space="preserve"> </w:t>
      </w:r>
      <w:r w:rsidR="00F34731" w:rsidRPr="00316485">
        <w:rPr>
          <w:sz w:val="32"/>
        </w:rPr>
        <w:t>contacts</w:t>
      </w:r>
      <w:bookmarkEnd w:id="83"/>
    </w:p>
    <w:p w14:paraId="7967E9F5" w14:textId="529E14AD" w:rsidR="00F34731" w:rsidRPr="00E3079E" w:rsidRDefault="00F34731" w:rsidP="00F34731">
      <w:r w:rsidRPr="00E3079E">
        <w:rPr>
          <w:b/>
        </w:rPr>
        <w:t xml:space="preserve">The </w:t>
      </w:r>
      <w:r w:rsidR="00E01063">
        <w:rPr>
          <w:b/>
        </w:rPr>
        <w:t xml:space="preserve">scheme manager </w:t>
      </w:r>
      <w:r w:rsidRPr="00E3079E">
        <w:rPr>
          <w:b/>
        </w:rPr>
        <w:t>will nominate contacts in the following areas</w:t>
      </w:r>
      <w:r w:rsidRPr="00E3079E">
        <w:t xml:space="preserve"> to allow correspondence to be directed to the most relevant individual. These contacts will be provided to the administrator and the LGA.</w:t>
      </w:r>
    </w:p>
    <w:tbl>
      <w:tblPr>
        <w:tblStyle w:val="TableGrid"/>
        <w:tblW w:w="0" w:type="auto"/>
        <w:tblLook w:val="04A0" w:firstRow="1" w:lastRow="0" w:firstColumn="1" w:lastColumn="0" w:noHBand="0" w:noVBand="1"/>
      </w:tblPr>
      <w:tblGrid>
        <w:gridCol w:w="9880"/>
      </w:tblGrid>
      <w:tr w:rsidR="00261CA1" w14:paraId="7FE95238" w14:textId="77777777" w:rsidTr="00261CA1">
        <w:tc>
          <w:tcPr>
            <w:tcW w:w="9880" w:type="dxa"/>
          </w:tcPr>
          <w:p w14:paraId="3F8FBC11" w14:textId="77777777" w:rsidR="00261CA1" w:rsidRPr="00E3079E" w:rsidRDefault="00261CA1" w:rsidP="00261CA1">
            <w:pPr>
              <w:ind w:left="360"/>
            </w:pPr>
            <w:r w:rsidRPr="00E3079E">
              <w:rPr>
                <w:b/>
              </w:rPr>
              <w:t>Scheme manager (strategic) contact</w:t>
            </w:r>
            <w:r w:rsidRPr="00E3079E">
              <w:t xml:space="preserve"> for valuation, scheme consultations, surveys, discretions, and Internal Dispute Resolution Procedure (IDRP)</w:t>
            </w:r>
          </w:p>
          <w:p w14:paraId="082EA129" w14:textId="77777777" w:rsidR="00261CA1" w:rsidRPr="00E3079E" w:rsidRDefault="00261CA1" w:rsidP="00261CA1">
            <w:r w:rsidRPr="00E3079E">
              <w:rPr>
                <w:highlight w:val="yellow"/>
              </w:rPr>
              <w:t>[INSERT ROLE] or [INSERT NAME] and [CONTACT DETAILS]</w:t>
            </w:r>
          </w:p>
        </w:tc>
      </w:tr>
      <w:tr w:rsidR="00261CA1" w:rsidRPr="00527A41" w14:paraId="6735F5F0" w14:textId="77777777" w:rsidTr="00261CA1">
        <w:tc>
          <w:tcPr>
            <w:tcW w:w="9880" w:type="dxa"/>
          </w:tcPr>
          <w:p w14:paraId="3504349E" w14:textId="77777777" w:rsidR="00261CA1" w:rsidRPr="00E3079E" w:rsidRDefault="00261CA1" w:rsidP="00261CA1">
            <w:pPr>
              <w:ind w:left="360"/>
              <w:rPr>
                <w:szCs w:val="24"/>
              </w:rPr>
            </w:pPr>
            <w:r w:rsidRPr="00E3079E">
              <w:rPr>
                <w:b/>
                <w:szCs w:val="24"/>
              </w:rPr>
              <w:t xml:space="preserve">Pension </w:t>
            </w:r>
            <w:proofErr w:type="gramStart"/>
            <w:r w:rsidRPr="00E3079E">
              <w:rPr>
                <w:b/>
                <w:szCs w:val="24"/>
              </w:rPr>
              <w:t>liaison</w:t>
            </w:r>
            <w:proofErr w:type="gramEnd"/>
            <w:r w:rsidRPr="00E3079E">
              <w:rPr>
                <w:b/>
                <w:szCs w:val="24"/>
              </w:rPr>
              <w:t xml:space="preserve"> contact </w:t>
            </w:r>
            <w:r w:rsidRPr="00E3079E">
              <w:rPr>
                <w:szCs w:val="24"/>
              </w:rPr>
              <w:t xml:space="preserve">for day to day administrative duties such as completion of forms, responding to queries, and HR functions </w:t>
            </w:r>
          </w:p>
          <w:p w14:paraId="7D63580D" w14:textId="77777777" w:rsidR="00261CA1" w:rsidRPr="00E3079E" w:rsidRDefault="00261CA1" w:rsidP="00261CA1">
            <w:pPr>
              <w:rPr>
                <w:szCs w:val="24"/>
              </w:rPr>
            </w:pPr>
            <w:r w:rsidRPr="00E3079E">
              <w:rPr>
                <w:szCs w:val="24"/>
                <w:highlight w:val="yellow"/>
              </w:rPr>
              <w:t>[INSERT ROLE] or [INSERT NAME] and [CONTACT DETAILS]</w:t>
            </w:r>
          </w:p>
        </w:tc>
      </w:tr>
      <w:tr w:rsidR="00261CA1" w:rsidRPr="00527A41" w14:paraId="7879DBD0" w14:textId="77777777" w:rsidTr="00261CA1">
        <w:tc>
          <w:tcPr>
            <w:tcW w:w="9880" w:type="dxa"/>
          </w:tcPr>
          <w:p w14:paraId="1C28E4E9" w14:textId="77777777" w:rsidR="00261CA1" w:rsidRPr="00E3079E" w:rsidRDefault="00261CA1" w:rsidP="00261CA1">
            <w:pPr>
              <w:ind w:left="360"/>
              <w:rPr>
                <w:szCs w:val="24"/>
              </w:rPr>
            </w:pPr>
            <w:proofErr w:type="gramStart"/>
            <w:r w:rsidRPr="00E3079E">
              <w:rPr>
                <w:b/>
                <w:szCs w:val="24"/>
              </w:rPr>
              <w:t>Payroll</w:t>
            </w:r>
            <w:proofErr w:type="gramEnd"/>
            <w:r w:rsidRPr="00E3079E">
              <w:rPr>
                <w:b/>
                <w:szCs w:val="24"/>
              </w:rPr>
              <w:t xml:space="preserve"> contact </w:t>
            </w:r>
            <w:r w:rsidRPr="00E3079E">
              <w:rPr>
                <w:szCs w:val="24"/>
              </w:rPr>
              <w:t>for queries relating to pay, year-end postings, or pensioner payroll</w:t>
            </w:r>
          </w:p>
          <w:p w14:paraId="67E2879F" w14:textId="77777777" w:rsidR="00261CA1" w:rsidRPr="00E3079E" w:rsidRDefault="00261CA1" w:rsidP="00261CA1">
            <w:pPr>
              <w:rPr>
                <w:szCs w:val="24"/>
              </w:rPr>
            </w:pPr>
            <w:r w:rsidRPr="00E3079E">
              <w:rPr>
                <w:szCs w:val="24"/>
                <w:highlight w:val="yellow"/>
              </w:rPr>
              <w:t>[INSERT ROLE] or [INSERT NAME] and [CONTACT DETAILS]</w:t>
            </w:r>
          </w:p>
        </w:tc>
      </w:tr>
      <w:tr w:rsidR="00261CA1" w:rsidRPr="00527A41" w14:paraId="35CF65FC" w14:textId="77777777" w:rsidTr="00261CA1">
        <w:tc>
          <w:tcPr>
            <w:tcW w:w="9880" w:type="dxa"/>
          </w:tcPr>
          <w:p w14:paraId="75F2C0D5" w14:textId="77777777" w:rsidR="00261CA1" w:rsidRPr="00E3079E" w:rsidRDefault="00261CA1" w:rsidP="00261CA1">
            <w:pPr>
              <w:ind w:left="360"/>
              <w:rPr>
                <w:szCs w:val="24"/>
              </w:rPr>
            </w:pPr>
            <w:r w:rsidRPr="00E3079E">
              <w:rPr>
                <w:b/>
                <w:szCs w:val="24"/>
              </w:rPr>
              <w:t xml:space="preserve">Finance contact </w:t>
            </w:r>
            <w:r w:rsidRPr="00E3079E">
              <w:rPr>
                <w:szCs w:val="24"/>
              </w:rPr>
              <w:t>for submission of monthly/ annual returns, SAB levy payment requests</w:t>
            </w:r>
          </w:p>
          <w:p w14:paraId="7CDC9865" w14:textId="77777777" w:rsidR="00261CA1" w:rsidRPr="00E3079E" w:rsidRDefault="00261CA1" w:rsidP="00261CA1">
            <w:pPr>
              <w:rPr>
                <w:szCs w:val="24"/>
              </w:rPr>
            </w:pPr>
            <w:r w:rsidRPr="00E3079E">
              <w:rPr>
                <w:szCs w:val="24"/>
                <w:highlight w:val="yellow"/>
              </w:rPr>
              <w:t>[INSERT ROLE] or [INSERT NAME] and [CONTACT DETAILS]</w:t>
            </w:r>
          </w:p>
        </w:tc>
      </w:tr>
    </w:tbl>
    <w:p w14:paraId="1B9E3936" w14:textId="06721CF1" w:rsidR="00405329" w:rsidRDefault="006B6B5A" w:rsidP="006B6B5A">
      <w:pPr>
        <w:rPr>
          <w:b/>
          <w:szCs w:val="24"/>
        </w:rPr>
      </w:pPr>
      <w:r w:rsidRPr="00E3079E">
        <w:rPr>
          <w:b/>
          <w:szCs w:val="24"/>
        </w:rPr>
        <w:lastRenderedPageBreak/>
        <w:t>The scheme manager is responsible for keeping the nominated contacts up to date</w:t>
      </w:r>
      <w:r w:rsidR="008A5327" w:rsidRPr="00E3079E">
        <w:rPr>
          <w:b/>
          <w:szCs w:val="24"/>
        </w:rPr>
        <w:t xml:space="preserve"> and providing prompt notification of changes</w:t>
      </w:r>
      <w:r w:rsidRPr="00E3079E">
        <w:rPr>
          <w:b/>
          <w:szCs w:val="24"/>
        </w:rPr>
        <w:t>.</w:t>
      </w:r>
    </w:p>
    <w:p w14:paraId="00523343" w14:textId="6245DEC0" w:rsidR="00FF1727" w:rsidRDefault="00C859F2">
      <w:pPr>
        <w:pStyle w:val="Heading2"/>
      </w:pPr>
      <w:bookmarkStart w:id="84" w:name="_Toc44062617"/>
      <w:bookmarkStart w:id="85" w:name="_Toc44062798"/>
      <w:bookmarkStart w:id="86" w:name="_Toc40861291"/>
      <w:bookmarkStart w:id="87" w:name="_Toc40861292"/>
      <w:bookmarkStart w:id="88" w:name="_Toc75332390"/>
      <w:bookmarkEnd w:id="84"/>
      <w:bookmarkEnd w:id="85"/>
      <w:bookmarkEnd w:id="86"/>
      <w:bookmarkEnd w:id="87"/>
      <w:r>
        <w:t>Administrator contacts</w:t>
      </w:r>
      <w:bookmarkEnd w:id="88"/>
    </w:p>
    <w:p w14:paraId="6C854AF5" w14:textId="39B665C6" w:rsidR="006B6B5A" w:rsidRPr="00E3079E" w:rsidRDefault="006B6B5A" w:rsidP="006B6B5A">
      <w:pPr>
        <w:rPr>
          <w:szCs w:val="24"/>
        </w:rPr>
      </w:pPr>
      <w:r w:rsidRPr="00E3079E">
        <w:rPr>
          <w:b/>
          <w:szCs w:val="24"/>
        </w:rPr>
        <w:t xml:space="preserve">The administrator will provide the following contact information for </w:t>
      </w:r>
      <w:r w:rsidR="00E01063">
        <w:rPr>
          <w:b/>
          <w:szCs w:val="24"/>
        </w:rPr>
        <w:t>FRAs</w:t>
      </w:r>
      <w:r w:rsidR="00E01063" w:rsidRPr="00E3079E">
        <w:rPr>
          <w:b/>
          <w:szCs w:val="24"/>
        </w:rPr>
        <w:t xml:space="preserve"> </w:t>
      </w:r>
      <w:r w:rsidRPr="00E3079E">
        <w:rPr>
          <w:b/>
          <w:szCs w:val="24"/>
        </w:rPr>
        <w:t xml:space="preserve">and their </w:t>
      </w:r>
      <w:r w:rsidR="00E01063">
        <w:rPr>
          <w:b/>
          <w:szCs w:val="24"/>
        </w:rPr>
        <w:t xml:space="preserve">scheme </w:t>
      </w:r>
      <w:r w:rsidRPr="00E3079E">
        <w:rPr>
          <w:b/>
          <w:szCs w:val="24"/>
        </w:rPr>
        <w:t>members</w:t>
      </w:r>
      <w:r w:rsidRPr="00E3079E">
        <w:rPr>
          <w:szCs w:val="24"/>
        </w:rPr>
        <w:t xml:space="preserve"> [</w:t>
      </w:r>
      <w:r w:rsidRPr="00E3079E">
        <w:rPr>
          <w:szCs w:val="24"/>
          <w:highlight w:val="yellow"/>
        </w:rPr>
        <w:t>ADMINISTRATOR TO COMPLETE</w:t>
      </w:r>
      <w:r w:rsidR="00261CA1" w:rsidRPr="00E3079E">
        <w:rPr>
          <w:szCs w:val="24"/>
          <w:highlight w:val="yellow"/>
        </w:rPr>
        <w:t>/ DELETE AS APPROPRIATE</w:t>
      </w:r>
      <w:r w:rsidRPr="00E3079E">
        <w:rPr>
          <w:szCs w:val="24"/>
        </w:rPr>
        <w:t xml:space="preserve">]: </w:t>
      </w:r>
    </w:p>
    <w:tbl>
      <w:tblPr>
        <w:tblStyle w:val="TableGrid"/>
        <w:tblW w:w="0" w:type="auto"/>
        <w:tblLook w:val="04A0" w:firstRow="1" w:lastRow="0" w:firstColumn="1" w:lastColumn="0" w:noHBand="0" w:noVBand="1"/>
      </w:tblPr>
      <w:tblGrid>
        <w:gridCol w:w="9880"/>
      </w:tblGrid>
      <w:tr w:rsidR="00261CA1" w:rsidRPr="00527A41" w14:paraId="46C5FB97" w14:textId="77777777" w:rsidTr="00261CA1">
        <w:tc>
          <w:tcPr>
            <w:tcW w:w="9880" w:type="dxa"/>
          </w:tcPr>
          <w:p w14:paraId="2DC2DB65" w14:textId="77777777" w:rsidR="00261CA1" w:rsidRPr="00FA3FCA" w:rsidRDefault="00261CA1" w:rsidP="00261CA1">
            <w:pPr>
              <w:rPr>
                <w:szCs w:val="24"/>
              </w:rPr>
            </w:pPr>
            <w:r w:rsidRPr="00527A41">
              <w:rPr>
                <w:b/>
                <w:szCs w:val="24"/>
              </w:rPr>
              <w:t>Pension Fund representative</w:t>
            </w:r>
            <w:r w:rsidRPr="00527A41">
              <w:rPr>
                <w:szCs w:val="24"/>
              </w:rPr>
              <w:t xml:space="preserve"> for regulatory or administration queries, training, </w:t>
            </w:r>
            <w:proofErr w:type="gramStart"/>
            <w:r w:rsidRPr="00527A41">
              <w:rPr>
                <w:szCs w:val="24"/>
              </w:rPr>
              <w:t>advice</w:t>
            </w:r>
            <w:proofErr w:type="gramEnd"/>
            <w:r w:rsidRPr="00527A41">
              <w:rPr>
                <w:szCs w:val="24"/>
              </w:rPr>
              <w:t xml:space="preserve"> and guidance</w:t>
            </w:r>
          </w:p>
          <w:p w14:paraId="2767737B" w14:textId="77777777" w:rsidR="00261CA1" w:rsidRPr="00527A41" w:rsidRDefault="00261CA1" w:rsidP="00261CA1">
            <w:pPr>
              <w:rPr>
                <w:szCs w:val="24"/>
              </w:rPr>
            </w:pPr>
            <w:r w:rsidRPr="00E3079E">
              <w:rPr>
                <w:szCs w:val="24"/>
                <w:highlight w:val="yellow"/>
              </w:rPr>
              <w:t>[INSERT ROLE] or [INSERT NAME] and [CONTACT DETAILS]</w:t>
            </w:r>
          </w:p>
        </w:tc>
      </w:tr>
      <w:tr w:rsidR="00261CA1" w:rsidRPr="00527A41" w14:paraId="1A52E349" w14:textId="77777777" w:rsidTr="00261CA1">
        <w:tc>
          <w:tcPr>
            <w:tcW w:w="9880" w:type="dxa"/>
          </w:tcPr>
          <w:p w14:paraId="3451BBC1" w14:textId="77777777" w:rsidR="00261CA1" w:rsidRPr="005115E2" w:rsidRDefault="00261CA1" w:rsidP="00261CA1">
            <w:pPr>
              <w:rPr>
                <w:szCs w:val="24"/>
              </w:rPr>
            </w:pPr>
            <w:r w:rsidRPr="005115E2">
              <w:rPr>
                <w:b/>
                <w:szCs w:val="24"/>
              </w:rPr>
              <w:t>Finance contact</w:t>
            </w:r>
            <w:r w:rsidRPr="005115E2">
              <w:rPr>
                <w:szCs w:val="24"/>
              </w:rPr>
              <w:t xml:space="preserve"> to assist with the monthly </w:t>
            </w:r>
            <w:proofErr w:type="gramStart"/>
            <w:r w:rsidRPr="005115E2">
              <w:rPr>
                <w:szCs w:val="24"/>
              </w:rPr>
              <w:t>returns</w:t>
            </w:r>
            <w:proofErr w:type="gramEnd"/>
            <w:r w:rsidRPr="005115E2">
              <w:rPr>
                <w:szCs w:val="24"/>
              </w:rPr>
              <w:t xml:space="preserve"> process/ year end </w:t>
            </w:r>
          </w:p>
          <w:p w14:paraId="3E9CA42B" w14:textId="77777777" w:rsidR="00261CA1" w:rsidRPr="00527A41" w:rsidRDefault="00261CA1" w:rsidP="00261CA1">
            <w:pPr>
              <w:rPr>
                <w:szCs w:val="24"/>
              </w:rPr>
            </w:pPr>
            <w:r w:rsidRPr="00E3079E">
              <w:rPr>
                <w:szCs w:val="24"/>
                <w:highlight w:val="yellow"/>
              </w:rPr>
              <w:t>[INSERT ROLE] or [INSERT NAME] and [CONTACT DETAILS]</w:t>
            </w:r>
          </w:p>
        </w:tc>
      </w:tr>
      <w:tr w:rsidR="00261CA1" w:rsidRPr="00527A41" w14:paraId="76D5C33E" w14:textId="77777777" w:rsidTr="00261CA1">
        <w:tc>
          <w:tcPr>
            <w:tcW w:w="9880" w:type="dxa"/>
          </w:tcPr>
          <w:p w14:paraId="78E61CF1" w14:textId="77777777" w:rsidR="00261CA1" w:rsidRPr="005115E2" w:rsidRDefault="00261CA1" w:rsidP="00261CA1">
            <w:pPr>
              <w:rPr>
                <w:szCs w:val="24"/>
              </w:rPr>
            </w:pPr>
            <w:r w:rsidRPr="005115E2">
              <w:rPr>
                <w:b/>
                <w:szCs w:val="24"/>
              </w:rPr>
              <w:t>Systems contact</w:t>
            </w:r>
            <w:r w:rsidRPr="005115E2">
              <w:rPr>
                <w:szCs w:val="24"/>
              </w:rPr>
              <w:t xml:space="preserve"> to assist with the monthly returns process/ year end</w:t>
            </w:r>
          </w:p>
          <w:p w14:paraId="2EF136F3" w14:textId="77777777" w:rsidR="00261CA1" w:rsidRPr="00527A41" w:rsidRDefault="00261CA1" w:rsidP="00261CA1">
            <w:pPr>
              <w:rPr>
                <w:szCs w:val="24"/>
              </w:rPr>
            </w:pPr>
            <w:r w:rsidRPr="00E3079E">
              <w:rPr>
                <w:szCs w:val="24"/>
                <w:highlight w:val="yellow"/>
              </w:rPr>
              <w:t>[INSERT ROLE] or [INSERT NAME] and [CONTACT DETAILS]</w:t>
            </w:r>
          </w:p>
        </w:tc>
      </w:tr>
      <w:tr w:rsidR="00261CA1" w:rsidRPr="00527A41" w14:paraId="075E49F4" w14:textId="77777777" w:rsidTr="00261CA1">
        <w:tc>
          <w:tcPr>
            <w:tcW w:w="9880" w:type="dxa"/>
          </w:tcPr>
          <w:p w14:paraId="01B01FDB" w14:textId="77777777" w:rsidR="00261CA1" w:rsidRPr="005115E2" w:rsidRDefault="00261CA1" w:rsidP="00261CA1">
            <w:pPr>
              <w:rPr>
                <w:szCs w:val="24"/>
              </w:rPr>
            </w:pPr>
            <w:r w:rsidRPr="005115E2">
              <w:rPr>
                <w:b/>
                <w:szCs w:val="24"/>
              </w:rPr>
              <w:t>Member helpline</w:t>
            </w:r>
            <w:r w:rsidRPr="005115E2">
              <w:rPr>
                <w:szCs w:val="24"/>
              </w:rPr>
              <w:t xml:space="preserve"> for queries</w:t>
            </w:r>
          </w:p>
          <w:p w14:paraId="5CC2D1A0" w14:textId="77777777" w:rsidR="00261CA1" w:rsidRPr="00527A41" w:rsidRDefault="00261CA1" w:rsidP="00261CA1">
            <w:pPr>
              <w:rPr>
                <w:szCs w:val="24"/>
              </w:rPr>
            </w:pPr>
            <w:r w:rsidRPr="00E3079E">
              <w:rPr>
                <w:szCs w:val="24"/>
                <w:highlight w:val="yellow"/>
              </w:rPr>
              <w:t>[INSERT CONTACT DETAILS]</w:t>
            </w:r>
          </w:p>
          <w:p w14:paraId="38F0C264" w14:textId="77777777" w:rsidR="00261CA1" w:rsidRPr="00FA3FCA" w:rsidRDefault="00261CA1" w:rsidP="00261CA1">
            <w:pPr>
              <w:rPr>
                <w:szCs w:val="24"/>
              </w:rPr>
            </w:pPr>
          </w:p>
        </w:tc>
      </w:tr>
    </w:tbl>
    <w:p w14:paraId="07C87FA1" w14:textId="256B235D" w:rsidR="004670F2" w:rsidRPr="000C3FC9" w:rsidRDefault="003B1415" w:rsidP="00316485">
      <w:pPr>
        <w:pStyle w:val="Heading1"/>
      </w:pPr>
      <w:bookmarkStart w:id="89" w:name="_Toc44062619"/>
      <w:bookmarkStart w:id="90" w:name="_Toc44062800"/>
      <w:bookmarkStart w:id="91" w:name="_Toc44062620"/>
      <w:bookmarkStart w:id="92" w:name="_Toc44062801"/>
      <w:bookmarkStart w:id="93" w:name="_Toc43993431"/>
      <w:bookmarkStart w:id="94" w:name="_Toc44059072"/>
      <w:bookmarkStart w:id="95" w:name="_Toc44062621"/>
      <w:bookmarkStart w:id="96" w:name="_Toc44062802"/>
      <w:bookmarkStart w:id="97" w:name="_Toc75332391"/>
      <w:bookmarkEnd w:id="89"/>
      <w:bookmarkEnd w:id="90"/>
      <w:bookmarkEnd w:id="91"/>
      <w:bookmarkEnd w:id="92"/>
      <w:bookmarkEnd w:id="93"/>
      <w:bookmarkEnd w:id="94"/>
      <w:bookmarkEnd w:id="95"/>
      <w:bookmarkEnd w:id="96"/>
      <w:r>
        <w:t xml:space="preserve">Scheme manager </w:t>
      </w:r>
      <w:r w:rsidR="004670F2">
        <w:t>duties and responsibilities</w:t>
      </w:r>
      <w:bookmarkEnd w:id="97"/>
      <w:r w:rsidR="004670F2">
        <w:t xml:space="preserve"> </w:t>
      </w:r>
      <w:bookmarkStart w:id="98" w:name="_Toc22044202"/>
      <w:bookmarkStart w:id="99" w:name="_Toc33081803"/>
      <w:bookmarkStart w:id="100" w:name="_Toc40861295"/>
      <w:bookmarkStart w:id="101" w:name="_Toc43465701"/>
      <w:bookmarkStart w:id="102" w:name="_Toc43466435"/>
      <w:bookmarkStart w:id="103" w:name="_Toc43993433"/>
      <w:bookmarkStart w:id="104" w:name="_Toc44057064"/>
      <w:bookmarkStart w:id="105" w:name="_Toc44062623"/>
      <w:bookmarkStart w:id="106" w:name="_Toc44062804"/>
      <w:bookmarkEnd w:id="98"/>
      <w:bookmarkEnd w:id="99"/>
      <w:bookmarkEnd w:id="100"/>
      <w:bookmarkEnd w:id="101"/>
      <w:bookmarkEnd w:id="102"/>
      <w:bookmarkEnd w:id="103"/>
      <w:bookmarkEnd w:id="104"/>
      <w:bookmarkEnd w:id="105"/>
      <w:bookmarkEnd w:id="106"/>
    </w:p>
    <w:p w14:paraId="605C6D97" w14:textId="034BA197" w:rsidR="006450B6" w:rsidRDefault="006450B6">
      <w:pPr>
        <w:pStyle w:val="Heading2"/>
      </w:pPr>
      <w:bookmarkStart w:id="107" w:name="_Toc75332392"/>
      <w:r w:rsidRPr="00316485">
        <w:t>Discretions</w:t>
      </w:r>
      <w:bookmarkEnd w:id="107"/>
    </w:p>
    <w:p w14:paraId="31D4F551" w14:textId="01777F54" w:rsidR="007F7A10" w:rsidRPr="00E3079E" w:rsidRDefault="00D7325A" w:rsidP="004670F2">
      <w:r w:rsidRPr="00E3079E">
        <w:t xml:space="preserve">As a matter of best practice, </w:t>
      </w:r>
      <w:r w:rsidRPr="00E3079E">
        <w:rPr>
          <w:b/>
        </w:rPr>
        <w:t>t</w:t>
      </w:r>
      <w:r w:rsidR="007F7A10" w:rsidRPr="00E3079E">
        <w:rPr>
          <w:b/>
        </w:rPr>
        <w:t xml:space="preserve">he scheme manager shall prepare and publish a written statement on the exercise of discretions </w:t>
      </w:r>
      <w:r w:rsidR="007F7A10" w:rsidRPr="00E3079E">
        <w:t xml:space="preserve">which are available to them under each set of FPS regulations. The discretions policy </w:t>
      </w:r>
      <w:r w:rsidRPr="00E3079E">
        <w:t xml:space="preserve">will </w:t>
      </w:r>
      <w:r w:rsidR="007F7A10" w:rsidRPr="00E3079E">
        <w:t xml:space="preserve">be kept under review and the revised version published within one month of the effective date. </w:t>
      </w:r>
    </w:p>
    <w:p w14:paraId="223DBE37" w14:textId="6F639174" w:rsidR="007F7A10" w:rsidRPr="007F7A10" w:rsidRDefault="007F7A10" w:rsidP="004670F2">
      <w:pPr>
        <w:rPr>
          <w:sz w:val="22"/>
        </w:rPr>
      </w:pPr>
      <w:r w:rsidRPr="00E3079E">
        <w:t xml:space="preserve">A full list of </w:t>
      </w:r>
      <w:hyperlink r:id="rId16" w:history="1">
        <w:r w:rsidR="00C32729" w:rsidRPr="00C32729">
          <w:rPr>
            <w:rStyle w:val="Hyperlink"/>
          </w:rPr>
          <w:t xml:space="preserve">scheme manager </w:t>
        </w:r>
        <w:r w:rsidRPr="00C32729">
          <w:rPr>
            <w:rStyle w:val="Hyperlink"/>
          </w:rPr>
          <w:t>discretions</w:t>
        </w:r>
      </w:hyperlink>
      <w:r w:rsidRPr="00E3079E">
        <w:t xml:space="preserve"> is available</w:t>
      </w:r>
      <w:r w:rsidR="00C32729">
        <w:t>.</w:t>
      </w:r>
      <w:r w:rsidRPr="00E3079E">
        <w:t xml:space="preserve"> </w:t>
      </w:r>
    </w:p>
    <w:p w14:paraId="35B700D3" w14:textId="6E3BBC72" w:rsidR="004670F2" w:rsidRDefault="00454A2A">
      <w:pPr>
        <w:pStyle w:val="Heading2"/>
      </w:pPr>
      <w:bookmarkStart w:id="108" w:name="_Toc75332393"/>
      <w:r>
        <w:t>Internal Dispute Resolution Procedure (</w:t>
      </w:r>
      <w:r w:rsidR="004670F2" w:rsidRPr="005A0C78">
        <w:t>IDRP</w:t>
      </w:r>
      <w:r>
        <w:t>)</w:t>
      </w:r>
      <w:bookmarkEnd w:id="108"/>
    </w:p>
    <w:p w14:paraId="48A76503" w14:textId="6A1D5066" w:rsidR="00405329" w:rsidRDefault="00AD285B" w:rsidP="00AD285B">
      <w:r w:rsidRPr="00E3079E">
        <w:t xml:space="preserve">If a scheme member, </w:t>
      </w:r>
      <w:r w:rsidR="00561CE3" w:rsidRPr="00E3079E">
        <w:t>prospective member,</w:t>
      </w:r>
      <w:r w:rsidRPr="00E3079E">
        <w:t xml:space="preserve"> dependant, </w:t>
      </w:r>
      <w:r w:rsidR="00561CE3" w:rsidRPr="00E3079E">
        <w:t xml:space="preserve">or other person with an interest in the scheme, </w:t>
      </w:r>
      <w:r w:rsidRPr="00E3079E">
        <w:t>is dissatisfied with a decision made by the FRA (or the failure to make a decision) there are rights of appeal available. Each set of scheme rules contains arrangements for Internal Disp</w:t>
      </w:r>
      <w:r w:rsidR="00163052" w:rsidRPr="00E3079E">
        <w:t>ute Resolution Procedures (IDRP)</w:t>
      </w:r>
      <w:r w:rsidRPr="00E3079E">
        <w:t xml:space="preserve"> based on the requirements of the Pensions Act 1995 and</w:t>
      </w:r>
      <w:r w:rsidRPr="00E3079E">
        <w:rPr>
          <w:sz w:val="28"/>
        </w:rPr>
        <w:t xml:space="preserve"> </w:t>
      </w:r>
      <w:r w:rsidRPr="00E3079E">
        <w:t xml:space="preserve">the Occupational Pension Schemes (Internal Dispute Resolution Procedures Consequential and Miscellaneous Amendments) Regulations 2008. </w:t>
      </w:r>
    </w:p>
    <w:p w14:paraId="01A23EE3" w14:textId="77777777" w:rsidR="00405329" w:rsidRDefault="00405329">
      <w:pPr>
        <w:spacing w:after="0"/>
      </w:pPr>
      <w:r>
        <w:br w:type="page"/>
      </w:r>
    </w:p>
    <w:tbl>
      <w:tblPr>
        <w:tblStyle w:val="TableGrid"/>
        <w:tblW w:w="0" w:type="auto"/>
        <w:tblLook w:val="04A0" w:firstRow="1" w:lastRow="0" w:firstColumn="1" w:lastColumn="0" w:noHBand="0" w:noVBand="1"/>
      </w:tblPr>
      <w:tblGrid>
        <w:gridCol w:w="4940"/>
        <w:gridCol w:w="4940"/>
      </w:tblGrid>
      <w:tr w:rsidR="00AA5DA7" w:rsidRPr="00527A41" w14:paraId="35EDA3A1" w14:textId="77777777" w:rsidTr="00AA5DA7">
        <w:tc>
          <w:tcPr>
            <w:tcW w:w="4940" w:type="dxa"/>
          </w:tcPr>
          <w:p w14:paraId="61C5A23B" w14:textId="77777777" w:rsidR="00AA5DA7" w:rsidRPr="00E3079E" w:rsidRDefault="00AA5DA7" w:rsidP="00AA5DA7">
            <w:r w:rsidRPr="00E3079E">
              <w:lastRenderedPageBreak/>
              <w:t xml:space="preserve">Firefighters’ Pension Scheme 1992 (FPS 1992)  </w:t>
            </w:r>
          </w:p>
        </w:tc>
        <w:tc>
          <w:tcPr>
            <w:tcW w:w="4940" w:type="dxa"/>
          </w:tcPr>
          <w:p w14:paraId="75ED9157" w14:textId="5B3A75EA" w:rsidR="00AA5DA7" w:rsidRPr="00E3079E" w:rsidRDefault="004F2AA8" w:rsidP="00AA5DA7">
            <w:hyperlink r:id="rId17" w:history="1">
              <w:r w:rsidR="00AA5DA7" w:rsidRPr="00024573">
                <w:rPr>
                  <w:rStyle w:val="Hyperlink"/>
                </w:rPr>
                <w:t>Rule H3</w:t>
              </w:r>
            </w:hyperlink>
            <w:r w:rsidR="004A3625">
              <w:rPr>
                <w:rStyle w:val="Hyperlink"/>
              </w:rPr>
              <w:t xml:space="preserve"> </w:t>
            </w:r>
            <w:r w:rsidR="00AA5DA7" w:rsidRPr="00E3079E">
              <w:t>(as amended by SI 2013/1392)</w:t>
            </w:r>
          </w:p>
        </w:tc>
      </w:tr>
      <w:tr w:rsidR="00AA5DA7" w:rsidRPr="00527A41" w14:paraId="1D36BBC7" w14:textId="77777777" w:rsidTr="00AA5DA7">
        <w:tc>
          <w:tcPr>
            <w:tcW w:w="4940" w:type="dxa"/>
          </w:tcPr>
          <w:p w14:paraId="78AB160D" w14:textId="77777777" w:rsidR="00AA5DA7" w:rsidRPr="00E3079E" w:rsidRDefault="00AA5DA7" w:rsidP="00AA5DA7">
            <w:r w:rsidRPr="00E3079E">
              <w:t xml:space="preserve">Firefighters’ Pension Scheme 2006 (FPS 2006) </w:t>
            </w:r>
          </w:p>
        </w:tc>
        <w:tc>
          <w:tcPr>
            <w:tcW w:w="4940" w:type="dxa"/>
          </w:tcPr>
          <w:p w14:paraId="5679E443" w14:textId="5B4B5584" w:rsidR="00AA5DA7" w:rsidRPr="00E3079E" w:rsidRDefault="004F2AA8" w:rsidP="00AA5DA7">
            <w:hyperlink r:id="rId18" w:history="1">
              <w:r w:rsidR="00AA5DA7" w:rsidRPr="00024573">
                <w:rPr>
                  <w:rStyle w:val="Hyperlink"/>
                </w:rPr>
                <w:t>Part 8, paragraph 5</w:t>
              </w:r>
            </w:hyperlink>
          </w:p>
        </w:tc>
      </w:tr>
      <w:tr w:rsidR="00AA5DA7" w:rsidRPr="00527A41" w14:paraId="3C5BCE3B" w14:textId="77777777" w:rsidTr="00AA5DA7">
        <w:tc>
          <w:tcPr>
            <w:tcW w:w="4940" w:type="dxa"/>
          </w:tcPr>
          <w:p w14:paraId="57CE882D" w14:textId="77777777" w:rsidR="00AA5DA7" w:rsidRPr="00E3079E" w:rsidRDefault="00AA5DA7" w:rsidP="00AA5DA7">
            <w:r w:rsidRPr="00E3079E">
              <w:t xml:space="preserve">Firefighters’ Pension Scheme 2015 (FPS 2015) </w:t>
            </w:r>
          </w:p>
        </w:tc>
        <w:tc>
          <w:tcPr>
            <w:tcW w:w="4940" w:type="dxa"/>
          </w:tcPr>
          <w:p w14:paraId="294AF9BF" w14:textId="2AF5B372" w:rsidR="00AA5DA7" w:rsidRPr="00E3079E" w:rsidRDefault="004F2AA8" w:rsidP="00AA5DA7">
            <w:hyperlink r:id="rId19" w:history="1">
              <w:r w:rsidR="00AA5DA7" w:rsidRPr="00024573">
                <w:rPr>
                  <w:rStyle w:val="Hyperlink"/>
                </w:rPr>
                <w:t>Regulation 163</w:t>
              </w:r>
            </w:hyperlink>
          </w:p>
        </w:tc>
      </w:tr>
      <w:tr w:rsidR="00561CE3" w:rsidRPr="00527A41" w14:paraId="679A6C26" w14:textId="77777777" w:rsidTr="00AA5DA7">
        <w:tc>
          <w:tcPr>
            <w:tcW w:w="4940" w:type="dxa"/>
          </w:tcPr>
          <w:p w14:paraId="29038FF7" w14:textId="77777777" w:rsidR="00561CE3" w:rsidRPr="00E3079E" w:rsidRDefault="00561CE3" w:rsidP="00AA5DA7">
            <w:r w:rsidRPr="00E3079E">
              <w:t>Firefighters’ Compensation Scheme (FCS)</w:t>
            </w:r>
          </w:p>
        </w:tc>
        <w:tc>
          <w:tcPr>
            <w:tcW w:w="4940" w:type="dxa"/>
          </w:tcPr>
          <w:p w14:paraId="08B6CB1A" w14:textId="77AE2C3B" w:rsidR="00561CE3" w:rsidRPr="00E3079E" w:rsidRDefault="004F2AA8" w:rsidP="00AA5DA7">
            <w:hyperlink r:id="rId20" w:history="1">
              <w:r w:rsidR="00561CE3" w:rsidRPr="00024573">
                <w:rPr>
                  <w:rStyle w:val="Hyperlink"/>
                </w:rPr>
                <w:t>Part 6 rule 3</w:t>
              </w:r>
            </w:hyperlink>
          </w:p>
        </w:tc>
      </w:tr>
    </w:tbl>
    <w:p w14:paraId="24447FA7" w14:textId="7A1C2578" w:rsidR="00855E52" w:rsidRDefault="00855E52" w:rsidP="00AD285B">
      <w:pPr>
        <w:rPr>
          <w:rFonts w:cs="Arial"/>
          <w:b/>
        </w:rPr>
      </w:pPr>
      <w:r w:rsidRPr="00E3079E">
        <w:rPr>
          <w:rFonts w:cs="Arial"/>
          <w:b/>
        </w:rPr>
        <w:t xml:space="preserve">The </w:t>
      </w:r>
      <w:r w:rsidR="005D0FDB" w:rsidRPr="00E3079E">
        <w:rPr>
          <w:rFonts w:cs="Arial"/>
          <w:b/>
        </w:rPr>
        <w:t xml:space="preserve">scheme manager </w:t>
      </w:r>
      <w:r w:rsidRPr="00E3079E">
        <w:rPr>
          <w:rFonts w:cs="Arial"/>
          <w:b/>
        </w:rPr>
        <w:t xml:space="preserve">will nominate appropriate persons to hear each stage of the appeal and respond to the individual within the specified timescales. </w:t>
      </w:r>
    </w:p>
    <w:p w14:paraId="24D66827" w14:textId="1108E857" w:rsidR="004458D4" w:rsidRPr="00405329" w:rsidRDefault="004458D4" w:rsidP="00AD285B">
      <w:pPr>
        <w:rPr>
          <w:rFonts w:cs="Arial"/>
          <w:bCs/>
        </w:rPr>
      </w:pPr>
      <w:r w:rsidRPr="00405329">
        <w:rPr>
          <w:rFonts w:cs="Arial"/>
          <w:bCs/>
        </w:rPr>
        <w:t xml:space="preserve">The timescales </w:t>
      </w:r>
      <w:r w:rsidR="00417DDB">
        <w:rPr>
          <w:rFonts w:cs="Arial"/>
          <w:bCs/>
        </w:rPr>
        <w:t xml:space="preserve">for each stage </w:t>
      </w:r>
      <w:r w:rsidRPr="00405329">
        <w:rPr>
          <w:rFonts w:cs="Arial"/>
          <w:bCs/>
        </w:rPr>
        <w:t xml:space="preserve">are </w:t>
      </w:r>
      <w:r w:rsidR="00BA2324" w:rsidRPr="00405329">
        <w:rPr>
          <w:rFonts w:cs="Arial"/>
          <w:bCs/>
        </w:rPr>
        <w:t xml:space="preserve">stipulated in the </w:t>
      </w:r>
      <w:hyperlink r:id="rId21" w:history="1">
        <w:r w:rsidR="00BA2324" w:rsidRPr="00405329">
          <w:rPr>
            <w:rStyle w:val="Hyperlink"/>
            <w:bCs/>
          </w:rPr>
          <w:t>IDRP factsheet</w:t>
        </w:r>
      </w:hyperlink>
      <w:r w:rsidR="00BA2324" w:rsidRPr="00405329">
        <w:rPr>
          <w:rFonts w:cs="Arial"/>
          <w:bCs/>
        </w:rPr>
        <w:t xml:space="preserve"> and must be adhered to in order to </w:t>
      </w:r>
      <w:r w:rsidR="00EE513B" w:rsidRPr="00405329">
        <w:rPr>
          <w:rFonts w:cs="Arial"/>
          <w:bCs/>
        </w:rPr>
        <w:t>mitigate further complaint</w:t>
      </w:r>
      <w:r w:rsidR="00A05457">
        <w:rPr>
          <w:rFonts w:cs="Arial"/>
          <w:bCs/>
        </w:rPr>
        <w:t xml:space="preserve"> or distress to the member. Failure to comply with timescales could be construed as maladministration and attract </w:t>
      </w:r>
      <w:r w:rsidR="00B37CEF">
        <w:rPr>
          <w:rFonts w:cs="Arial"/>
          <w:bCs/>
        </w:rPr>
        <w:t>a financial award</w:t>
      </w:r>
      <w:r w:rsidR="003B23B9">
        <w:rPr>
          <w:rStyle w:val="FootnoteReference"/>
          <w:rFonts w:cs="Arial"/>
          <w:bCs/>
        </w:rPr>
        <w:footnoteReference w:id="4"/>
      </w:r>
      <w:r w:rsidR="00B37CEF">
        <w:rPr>
          <w:rFonts w:cs="Arial"/>
          <w:bCs/>
        </w:rPr>
        <w:t xml:space="preserve"> from The Pensions Ombudsman (TPO). </w:t>
      </w:r>
    </w:p>
    <w:p w14:paraId="5FD92FFF" w14:textId="51B574D3" w:rsidR="004243A4" w:rsidRPr="00E3079E" w:rsidRDefault="004243A4" w:rsidP="00AD285B">
      <w:pPr>
        <w:rPr>
          <w:rFonts w:cs="Arial"/>
        </w:rPr>
      </w:pPr>
      <w:r w:rsidRPr="00E3079E">
        <w:rPr>
          <w:rFonts w:cs="Arial"/>
        </w:rPr>
        <w:t>The nominated</w:t>
      </w:r>
      <w:r w:rsidR="00B61736">
        <w:rPr>
          <w:rFonts w:cs="Arial"/>
        </w:rPr>
        <w:t xml:space="preserve"> decision makers</w:t>
      </w:r>
      <w:r w:rsidRPr="00E3079E">
        <w:rPr>
          <w:rFonts w:cs="Arial"/>
        </w:rPr>
        <w:t xml:space="preserve"> for [</w:t>
      </w:r>
      <w:r w:rsidRPr="00E3079E">
        <w:rPr>
          <w:rFonts w:cs="Arial"/>
          <w:highlight w:val="yellow"/>
        </w:rPr>
        <w:t>INSERT NAME of FRA</w:t>
      </w:r>
      <w:r w:rsidRPr="00E3079E">
        <w:rPr>
          <w:rFonts w:cs="Arial"/>
        </w:rPr>
        <w:t xml:space="preserve">] are </w:t>
      </w:r>
    </w:p>
    <w:tbl>
      <w:tblPr>
        <w:tblStyle w:val="TableGrid"/>
        <w:tblW w:w="0" w:type="auto"/>
        <w:tblLook w:val="04A0" w:firstRow="1" w:lastRow="0" w:firstColumn="1" w:lastColumn="0" w:noHBand="0" w:noVBand="1"/>
      </w:tblPr>
      <w:tblGrid>
        <w:gridCol w:w="4940"/>
        <w:gridCol w:w="4940"/>
      </w:tblGrid>
      <w:tr w:rsidR="004243A4" w:rsidRPr="00527A41" w14:paraId="2A9DDD77" w14:textId="77777777" w:rsidTr="004243A4">
        <w:tc>
          <w:tcPr>
            <w:tcW w:w="4940" w:type="dxa"/>
          </w:tcPr>
          <w:p w14:paraId="3ED6E7DE" w14:textId="77777777" w:rsidR="004243A4" w:rsidRPr="00E3079E" w:rsidRDefault="004243A4" w:rsidP="00AD285B">
            <w:pPr>
              <w:rPr>
                <w:rFonts w:cs="Arial"/>
              </w:rPr>
            </w:pPr>
            <w:r w:rsidRPr="00E3079E">
              <w:rPr>
                <w:rFonts w:cs="Arial"/>
              </w:rPr>
              <w:t>Stage 1</w:t>
            </w:r>
          </w:p>
        </w:tc>
        <w:tc>
          <w:tcPr>
            <w:tcW w:w="4940" w:type="dxa"/>
          </w:tcPr>
          <w:p w14:paraId="558A02E5" w14:textId="77777777" w:rsidR="004243A4" w:rsidRPr="00E3079E" w:rsidRDefault="004243A4" w:rsidP="00AD285B">
            <w:pPr>
              <w:rPr>
                <w:rFonts w:cs="Arial"/>
              </w:rPr>
            </w:pPr>
          </w:p>
        </w:tc>
      </w:tr>
      <w:tr w:rsidR="004243A4" w:rsidRPr="00527A41" w14:paraId="5EAD5047" w14:textId="77777777" w:rsidTr="004243A4">
        <w:tc>
          <w:tcPr>
            <w:tcW w:w="4940" w:type="dxa"/>
          </w:tcPr>
          <w:p w14:paraId="0545E2A5" w14:textId="77777777" w:rsidR="004243A4" w:rsidRPr="00E3079E" w:rsidRDefault="004243A4" w:rsidP="00AD285B">
            <w:pPr>
              <w:rPr>
                <w:rFonts w:cs="Arial"/>
              </w:rPr>
            </w:pPr>
            <w:r w:rsidRPr="00E3079E">
              <w:rPr>
                <w:rFonts w:cs="Arial"/>
              </w:rPr>
              <w:t>Stage 2</w:t>
            </w:r>
          </w:p>
        </w:tc>
        <w:tc>
          <w:tcPr>
            <w:tcW w:w="4940" w:type="dxa"/>
          </w:tcPr>
          <w:p w14:paraId="65148132" w14:textId="77777777" w:rsidR="004243A4" w:rsidRPr="00E3079E" w:rsidRDefault="004243A4" w:rsidP="00AD285B">
            <w:pPr>
              <w:rPr>
                <w:rFonts w:cs="Arial"/>
              </w:rPr>
            </w:pPr>
          </w:p>
        </w:tc>
      </w:tr>
    </w:tbl>
    <w:p w14:paraId="416235D4" w14:textId="77777777" w:rsidR="004243A4" w:rsidRPr="00E3079E" w:rsidRDefault="00855E52" w:rsidP="00AD285B">
      <w:pPr>
        <w:rPr>
          <w:rFonts w:cs="Arial"/>
        </w:rPr>
      </w:pPr>
      <w:r w:rsidRPr="00E3079E">
        <w:rPr>
          <w:rFonts w:cs="Arial"/>
        </w:rPr>
        <w:t xml:space="preserve">Guidance on IDRPs can be found here: </w:t>
      </w:r>
    </w:p>
    <w:p w14:paraId="6FB7E4F2" w14:textId="35AF9291" w:rsidR="004243A4" w:rsidRPr="00E3079E" w:rsidRDefault="004F2AA8" w:rsidP="00316485">
      <w:pPr>
        <w:pStyle w:val="Bulletlist"/>
      </w:pPr>
      <w:hyperlink r:id="rId22" w:history="1">
        <w:r w:rsidR="004243A4" w:rsidRPr="00134535">
          <w:rPr>
            <w:rStyle w:val="Hyperlink"/>
          </w:rPr>
          <w:t>IDRP factsheet</w:t>
        </w:r>
      </w:hyperlink>
      <w:r w:rsidR="004243A4" w:rsidRPr="00E3079E">
        <w:t xml:space="preserve"> </w:t>
      </w:r>
    </w:p>
    <w:p w14:paraId="7CD71D6F" w14:textId="304F86F2" w:rsidR="00855E52" w:rsidRPr="00E3079E" w:rsidRDefault="00855E52" w:rsidP="00316485">
      <w:pPr>
        <w:pStyle w:val="Bulletlist"/>
      </w:pPr>
      <w:r w:rsidRPr="00E3079E">
        <w:t>Guidance for decision makers</w:t>
      </w:r>
      <w:r w:rsidR="00134535">
        <w:t xml:space="preserve"> </w:t>
      </w:r>
      <w:r w:rsidR="00512EF9">
        <w:t>[</w:t>
      </w:r>
      <w:r w:rsidR="00134535">
        <w:t>pending review</w:t>
      </w:r>
      <w:r w:rsidR="00512EF9">
        <w:t>]</w:t>
      </w:r>
      <w:r w:rsidR="004243A4" w:rsidRPr="00E3079E">
        <w:t xml:space="preserve"> </w:t>
      </w:r>
    </w:p>
    <w:p w14:paraId="5173C07B" w14:textId="394FB0B9" w:rsidR="00595538" w:rsidRDefault="004243A4" w:rsidP="00316485">
      <w:pPr>
        <w:pStyle w:val="Bulletlist"/>
        <w:rPr>
          <w:sz w:val="22"/>
        </w:rPr>
      </w:pPr>
      <w:r w:rsidRPr="00E3079E">
        <w:t>Guidance for individuals</w:t>
      </w:r>
      <w:r w:rsidR="00134535">
        <w:t xml:space="preserve"> </w:t>
      </w:r>
      <w:r w:rsidR="00512EF9">
        <w:t>[</w:t>
      </w:r>
      <w:r w:rsidR="003B1415">
        <w:t>pending review</w:t>
      </w:r>
      <w:r w:rsidR="00512EF9">
        <w:t>]</w:t>
      </w:r>
      <w:r w:rsidRPr="00E3079E">
        <w:t xml:space="preserve"> </w:t>
      </w:r>
    </w:p>
    <w:p w14:paraId="4A316B53" w14:textId="7F671764" w:rsidR="004243A4" w:rsidRDefault="004243A4">
      <w:pPr>
        <w:pStyle w:val="Heading2"/>
      </w:pPr>
      <w:bookmarkStart w:id="109" w:name="_Toc43993436"/>
      <w:bookmarkStart w:id="110" w:name="_Toc44057067"/>
      <w:bookmarkStart w:id="111" w:name="_Toc44059077"/>
      <w:bookmarkStart w:id="112" w:name="_Toc44062627"/>
      <w:bookmarkStart w:id="113" w:name="_Toc44062808"/>
      <w:bookmarkStart w:id="114" w:name="_Toc43993437"/>
      <w:bookmarkStart w:id="115" w:name="_Toc44057068"/>
      <w:bookmarkStart w:id="116" w:name="_Toc44059078"/>
      <w:bookmarkStart w:id="117" w:name="_Toc44062628"/>
      <w:bookmarkStart w:id="118" w:name="_Toc44062809"/>
      <w:bookmarkStart w:id="119" w:name="_Toc40861298"/>
      <w:bookmarkStart w:id="120" w:name="_Toc40861299"/>
      <w:bookmarkStart w:id="121" w:name="_Toc75332394"/>
      <w:bookmarkEnd w:id="109"/>
      <w:bookmarkEnd w:id="110"/>
      <w:bookmarkEnd w:id="111"/>
      <w:bookmarkEnd w:id="112"/>
      <w:bookmarkEnd w:id="113"/>
      <w:bookmarkEnd w:id="114"/>
      <w:bookmarkEnd w:id="115"/>
      <w:bookmarkEnd w:id="116"/>
      <w:bookmarkEnd w:id="117"/>
      <w:bookmarkEnd w:id="118"/>
      <w:bookmarkEnd w:id="119"/>
      <w:bookmarkEnd w:id="120"/>
      <w:r>
        <w:t>The Pensions Regulator (TPR)</w:t>
      </w:r>
      <w:bookmarkEnd w:id="121"/>
    </w:p>
    <w:p w14:paraId="451014F0" w14:textId="666EB796" w:rsidR="005D0FDB" w:rsidRPr="00FA3FCA" w:rsidRDefault="004F2AA8" w:rsidP="005D0FDB">
      <w:hyperlink r:id="rId23" w:history="1">
        <w:r w:rsidR="00957982" w:rsidRPr="00E3079E">
          <w:rPr>
            <w:rStyle w:val="Hyperlink"/>
          </w:rPr>
          <w:t>TPR</w:t>
        </w:r>
      </w:hyperlink>
      <w:r w:rsidR="00957982" w:rsidRPr="00E3079E">
        <w:t xml:space="preserve"> </w:t>
      </w:r>
      <w:r w:rsidR="005D0FDB" w:rsidRPr="00527A41">
        <w:t xml:space="preserve">is a public body established by the </w:t>
      </w:r>
      <w:hyperlink r:id="rId24" w:history="1">
        <w:r w:rsidR="005D0FDB" w:rsidRPr="00527A41">
          <w:rPr>
            <w:rStyle w:val="Hyperlink"/>
          </w:rPr>
          <w:t>Pensions Act 2004</w:t>
        </w:r>
      </w:hyperlink>
      <w:r w:rsidR="005D0FDB" w:rsidRPr="00527A41">
        <w:t xml:space="preserve"> to make sure that pension schemes within the UK are run properly and can provide secure benefits for their members upon retirement. TPR has powers to "educate, enable, and enforce", and is responsible for promoting good scheme administration. The Regulator is sponsored by the Department for Work and Pensions (DWP).</w:t>
      </w:r>
    </w:p>
    <w:p w14:paraId="3FE2D754" w14:textId="3527C60A" w:rsidR="009D6BF9" w:rsidRDefault="005D0FDB" w:rsidP="005D0FDB">
      <w:pPr>
        <w:rPr>
          <w:sz w:val="22"/>
        </w:rPr>
      </w:pPr>
      <w:r w:rsidRPr="00FA3FCA">
        <w:t>TPR's overs</w:t>
      </w:r>
      <w:r w:rsidRPr="00527A41">
        <w:t xml:space="preserve">ight of public service pension schemes, including the Firefighters' Pension Schemes, was introduced by schedule 4 of the </w:t>
      </w:r>
      <w:hyperlink r:id="rId25" w:history="1">
        <w:r w:rsidRPr="00527A41">
          <w:rPr>
            <w:rStyle w:val="Hyperlink"/>
          </w:rPr>
          <w:t>Public Service Pensions Act 2013</w:t>
        </w:r>
      </w:hyperlink>
      <w:r w:rsidRPr="00527A41">
        <w:t>.</w:t>
      </w:r>
    </w:p>
    <w:p w14:paraId="418F391B" w14:textId="6CCA6673" w:rsidR="005D0FDB" w:rsidRPr="00E3079E" w:rsidRDefault="009D6BF9" w:rsidP="005D0FDB">
      <w:pPr>
        <w:rPr>
          <w:b/>
          <w:szCs w:val="24"/>
        </w:rPr>
      </w:pPr>
      <w:r w:rsidRPr="00E3079E">
        <w:rPr>
          <w:b/>
          <w:szCs w:val="24"/>
        </w:rPr>
        <w:t xml:space="preserve">The scheme manager will ensure that they are familiar with TPR’s </w:t>
      </w:r>
      <w:hyperlink r:id="rId26" w:history="1">
        <w:r w:rsidRPr="00E3079E">
          <w:rPr>
            <w:rStyle w:val="Hyperlink"/>
            <w:b/>
            <w:szCs w:val="24"/>
          </w:rPr>
          <w:t>Code of Practice 14: Governance and administration of public service pension schemes</w:t>
        </w:r>
      </w:hyperlink>
      <w:r w:rsidRPr="00E3079E">
        <w:rPr>
          <w:b/>
          <w:szCs w:val="24"/>
        </w:rPr>
        <w:t>.</w:t>
      </w:r>
      <w:r w:rsidR="004A3625">
        <w:rPr>
          <w:rStyle w:val="FootnoteReference"/>
          <w:b/>
          <w:szCs w:val="24"/>
        </w:rPr>
        <w:footnoteReference w:id="5"/>
      </w:r>
    </w:p>
    <w:p w14:paraId="300361A6" w14:textId="32E4FCBA" w:rsidR="005D0FDB" w:rsidRPr="00E3079E" w:rsidRDefault="005D0FDB" w:rsidP="005D0FDB">
      <w:pPr>
        <w:rPr>
          <w:szCs w:val="24"/>
        </w:rPr>
      </w:pPr>
      <w:r w:rsidRPr="00E3079E">
        <w:rPr>
          <w:b/>
          <w:szCs w:val="24"/>
        </w:rPr>
        <w:lastRenderedPageBreak/>
        <w:t xml:space="preserve">Each year TPR issue two requests for information which the scheme manager and </w:t>
      </w:r>
      <w:r w:rsidR="008573B4" w:rsidRPr="00E3079E">
        <w:rPr>
          <w:b/>
          <w:szCs w:val="24"/>
        </w:rPr>
        <w:t>L</w:t>
      </w:r>
      <w:r w:rsidRPr="00E3079E">
        <w:rPr>
          <w:b/>
          <w:szCs w:val="24"/>
        </w:rPr>
        <w:t xml:space="preserve">ocal </w:t>
      </w:r>
      <w:r w:rsidR="008573B4" w:rsidRPr="00E3079E">
        <w:rPr>
          <w:b/>
          <w:szCs w:val="24"/>
        </w:rPr>
        <w:t>P</w:t>
      </w:r>
      <w:r w:rsidRPr="00E3079E">
        <w:rPr>
          <w:b/>
          <w:szCs w:val="24"/>
        </w:rPr>
        <w:t xml:space="preserve">ension </w:t>
      </w:r>
      <w:r w:rsidR="008573B4" w:rsidRPr="00E3079E">
        <w:rPr>
          <w:b/>
          <w:szCs w:val="24"/>
        </w:rPr>
        <w:t>B</w:t>
      </w:r>
      <w:r w:rsidRPr="00E3079E">
        <w:rPr>
          <w:b/>
          <w:szCs w:val="24"/>
        </w:rPr>
        <w:t>oard</w:t>
      </w:r>
      <w:r w:rsidR="008573B4" w:rsidRPr="00E3079E">
        <w:rPr>
          <w:b/>
          <w:szCs w:val="24"/>
        </w:rPr>
        <w:t xml:space="preserve"> (LPB)</w:t>
      </w:r>
      <w:r w:rsidRPr="00E3079E">
        <w:rPr>
          <w:b/>
          <w:szCs w:val="24"/>
        </w:rPr>
        <w:t xml:space="preserve"> shall ensure are completed</w:t>
      </w:r>
      <w:r w:rsidRPr="00E3079E">
        <w:rPr>
          <w:szCs w:val="24"/>
        </w:rPr>
        <w:t>:</w:t>
      </w:r>
    </w:p>
    <w:p w14:paraId="21F7947F" w14:textId="43CED4E5" w:rsidR="009D6BF9" w:rsidRPr="00E3079E" w:rsidRDefault="004F2AA8" w:rsidP="005D0FDB">
      <w:pPr>
        <w:rPr>
          <w:szCs w:val="24"/>
        </w:rPr>
      </w:pPr>
      <w:hyperlink r:id="rId27" w:history="1">
        <w:proofErr w:type="gramStart"/>
        <w:r w:rsidR="005D0FDB" w:rsidRPr="00E3079E">
          <w:rPr>
            <w:rStyle w:val="Hyperlink"/>
            <w:b/>
            <w:szCs w:val="24"/>
          </w:rPr>
          <w:t>Scheme</w:t>
        </w:r>
        <w:proofErr w:type="gramEnd"/>
        <w:r w:rsidR="005D0FDB" w:rsidRPr="00E3079E">
          <w:rPr>
            <w:rStyle w:val="Hyperlink"/>
            <w:b/>
            <w:szCs w:val="24"/>
          </w:rPr>
          <w:t xml:space="preserve"> return</w:t>
        </w:r>
      </w:hyperlink>
      <w:r w:rsidR="005D0FDB" w:rsidRPr="00E3079E">
        <w:rPr>
          <w:b/>
          <w:szCs w:val="24"/>
        </w:rPr>
        <w:t xml:space="preserve"> – </w:t>
      </w:r>
      <w:r w:rsidR="009D6BF9" w:rsidRPr="00E3079E">
        <w:rPr>
          <w:szCs w:val="24"/>
        </w:rPr>
        <w:t xml:space="preserve">the scheme return is a statutory return which allows TPR to keep their register of workplace pension schemes up to date. </w:t>
      </w:r>
    </w:p>
    <w:p w14:paraId="0AF7BD01" w14:textId="2918B728" w:rsidR="0057081C" w:rsidRPr="00E3079E" w:rsidRDefault="009D6BF9" w:rsidP="005D0FDB">
      <w:pPr>
        <w:rPr>
          <w:szCs w:val="24"/>
        </w:rPr>
      </w:pPr>
      <w:r w:rsidRPr="00E3079E">
        <w:rPr>
          <w:szCs w:val="24"/>
        </w:rPr>
        <w:t xml:space="preserve">The return asks for information about what type of scheme the FPS is and how many members each employer has, as well as requesting up to date contact details. </w:t>
      </w:r>
    </w:p>
    <w:p w14:paraId="5D1A853C" w14:textId="77777777" w:rsidR="0057081C" w:rsidRPr="00E3079E" w:rsidRDefault="0057081C" w:rsidP="005D0FDB">
      <w:pPr>
        <w:rPr>
          <w:szCs w:val="24"/>
        </w:rPr>
      </w:pPr>
      <w:r w:rsidRPr="00E3079E">
        <w:rPr>
          <w:szCs w:val="24"/>
        </w:rPr>
        <w:t>The return also asks schemes to provide their common and scheme specific data scores, which enables TPR to monitor continuous data improvement. Information on data scoring for the FPS is available below</w:t>
      </w:r>
    </w:p>
    <w:p w14:paraId="5D763FA3" w14:textId="77777777" w:rsidR="0057081C" w:rsidRPr="00E3079E" w:rsidRDefault="004F2AA8" w:rsidP="005D0FDB">
      <w:pPr>
        <w:rPr>
          <w:szCs w:val="24"/>
        </w:rPr>
      </w:pPr>
      <w:hyperlink r:id="rId28" w:tgtFrame="_blank" w:tooltip="Advice on TPR data scoring 2019 - clean" w:history="1">
        <w:r w:rsidR="0057081C" w:rsidRPr="00E3079E">
          <w:rPr>
            <w:rStyle w:val="Hyperlink"/>
            <w:szCs w:val="24"/>
          </w:rPr>
          <w:t>Advice on TPR data scoring 2019</w:t>
        </w:r>
      </w:hyperlink>
      <w:r w:rsidR="0057081C" w:rsidRPr="00E3079E">
        <w:rPr>
          <w:szCs w:val="24"/>
        </w:rPr>
        <w:t> </w:t>
      </w:r>
    </w:p>
    <w:p w14:paraId="32A8C84A" w14:textId="3EF760D9" w:rsidR="009D6BF9" w:rsidRPr="00E3079E" w:rsidRDefault="004F2AA8" w:rsidP="005D0FDB">
      <w:pPr>
        <w:rPr>
          <w:szCs w:val="24"/>
        </w:rPr>
      </w:pPr>
      <w:hyperlink r:id="rId29" w:tgtFrame="_blank" w:tooltip="Data score weighting template 2019" w:history="1">
        <w:r w:rsidR="0057081C" w:rsidRPr="00E3079E">
          <w:rPr>
            <w:rStyle w:val="Hyperlink"/>
            <w:szCs w:val="24"/>
          </w:rPr>
          <w:t>Data score weighting template 2019</w:t>
        </w:r>
      </w:hyperlink>
    </w:p>
    <w:p w14:paraId="18E7570E" w14:textId="27DC59D5" w:rsidR="003243CD" w:rsidRPr="00E3079E" w:rsidRDefault="009D6BF9" w:rsidP="005D0FDB">
      <w:pPr>
        <w:rPr>
          <w:b/>
          <w:szCs w:val="24"/>
        </w:rPr>
      </w:pPr>
      <w:r w:rsidRPr="00E3079E">
        <w:rPr>
          <w:szCs w:val="24"/>
        </w:rPr>
        <w:t>TPR can and will take enforcement action if the scheme return is not completed.</w:t>
      </w:r>
    </w:p>
    <w:p w14:paraId="67F2DF94" w14:textId="4E82A151" w:rsidR="009D6BF9" w:rsidRPr="00E3079E" w:rsidRDefault="004F2AA8">
      <w:pPr>
        <w:rPr>
          <w:szCs w:val="24"/>
        </w:rPr>
      </w:pPr>
      <w:hyperlink r:id="rId30" w:history="1">
        <w:r w:rsidR="005D0FDB" w:rsidRPr="00E3079E">
          <w:rPr>
            <w:rStyle w:val="Hyperlink"/>
            <w:b/>
            <w:szCs w:val="24"/>
          </w:rPr>
          <w:t>Governance and Administration survey</w:t>
        </w:r>
      </w:hyperlink>
      <w:r w:rsidR="005D0FDB" w:rsidRPr="00E3079E">
        <w:rPr>
          <w:b/>
          <w:szCs w:val="24"/>
        </w:rPr>
        <w:t xml:space="preserve"> –</w:t>
      </w:r>
      <w:r w:rsidR="008573B4" w:rsidRPr="00E3079E">
        <w:rPr>
          <w:szCs w:val="24"/>
        </w:rPr>
        <w:t xml:space="preserve"> </w:t>
      </w:r>
      <w:r w:rsidR="009D6BF9" w:rsidRPr="00E3079E">
        <w:rPr>
          <w:szCs w:val="24"/>
        </w:rPr>
        <w:t xml:space="preserve">scheme managers are invited </w:t>
      </w:r>
      <w:r w:rsidR="008573B4" w:rsidRPr="00E3079E">
        <w:rPr>
          <w:szCs w:val="24"/>
        </w:rPr>
        <w:t xml:space="preserve">to </w:t>
      </w:r>
      <w:r w:rsidR="009D6BF9" w:rsidRPr="00E3079E">
        <w:rPr>
          <w:szCs w:val="24"/>
        </w:rPr>
        <w:t xml:space="preserve">complete </w:t>
      </w:r>
      <w:r w:rsidR="008573B4" w:rsidRPr="00E3079E">
        <w:rPr>
          <w:szCs w:val="24"/>
        </w:rPr>
        <w:t xml:space="preserve">the annual governance and administration survey </w:t>
      </w:r>
      <w:r w:rsidR="009D6BF9" w:rsidRPr="00E3079E">
        <w:rPr>
          <w:szCs w:val="24"/>
        </w:rPr>
        <w:t xml:space="preserve">in conjunction with their </w:t>
      </w:r>
      <w:r w:rsidR="008573B4" w:rsidRPr="00E3079E">
        <w:rPr>
          <w:szCs w:val="24"/>
        </w:rPr>
        <w:t>LP</w:t>
      </w:r>
      <w:r w:rsidR="009D6BF9" w:rsidRPr="00E3079E">
        <w:rPr>
          <w:szCs w:val="24"/>
        </w:rPr>
        <w:t>B. Although the survey is not mandatory, participation is strongly encouraged by both TPR and the Scheme Advisory Board, so that improvements in running the FPS can be monitored and evidenced.</w:t>
      </w:r>
    </w:p>
    <w:p w14:paraId="7CB66EDE" w14:textId="55E4BBA2" w:rsidR="0057081C" w:rsidRPr="00E3079E" w:rsidRDefault="009D6BF9" w:rsidP="009D6BF9">
      <w:pPr>
        <w:rPr>
          <w:szCs w:val="24"/>
        </w:rPr>
      </w:pPr>
      <w:r w:rsidRPr="00E3079E">
        <w:rPr>
          <w:szCs w:val="24"/>
        </w:rPr>
        <w:t>TPR do not take any regulatory action based on survey responses, but overall trends may inform their engagement activity with schemes.</w:t>
      </w:r>
    </w:p>
    <w:p w14:paraId="030E2B66" w14:textId="413B7C87" w:rsidR="009425B3" w:rsidRPr="00E3079E" w:rsidRDefault="0057081C" w:rsidP="009D6BF9">
      <w:pPr>
        <w:rPr>
          <w:szCs w:val="24"/>
        </w:rPr>
      </w:pPr>
      <w:r w:rsidRPr="00E3079E">
        <w:rPr>
          <w:szCs w:val="24"/>
        </w:rPr>
        <w:t xml:space="preserve">Familiarity with </w:t>
      </w:r>
      <w:hyperlink r:id="rId31" w:history="1">
        <w:r w:rsidRPr="00E3079E">
          <w:rPr>
            <w:rStyle w:val="Hyperlink"/>
            <w:szCs w:val="24"/>
          </w:rPr>
          <w:t>TPR’s six key processes</w:t>
        </w:r>
      </w:hyperlink>
      <w:r w:rsidRPr="00E3079E">
        <w:rPr>
          <w:szCs w:val="24"/>
        </w:rPr>
        <w:t xml:space="preserve"> will assist schemes with understanding and compliance.</w:t>
      </w:r>
    </w:p>
    <w:p w14:paraId="0B730F04" w14:textId="01BAAE38" w:rsidR="005D0FDB" w:rsidRPr="008F0F15" w:rsidRDefault="00EB33BD" w:rsidP="005D0FDB">
      <w:pPr>
        <w:rPr>
          <w:szCs w:val="24"/>
        </w:rPr>
      </w:pPr>
      <w:r w:rsidRPr="00E3079E">
        <w:rPr>
          <w:szCs w:val="24"/>
        </w:rPr>
        <w:t xml:space="preserve">One of TPR’s key areas of focus is record keeping and data quality. </w:t>
      </w:r>
      <w:r w:rsidRPr="00E3079E">
        <w:rPr>
          <w:b/>
          <w:szCs w:val="24"/>
        </w:rPr>
        <w:t xml:space="preserve">Scheme managers shall ensure that </w:t>
      </w:r>
      <w:hyperlink r:id="rId32" w:history="1">
        <w:r w:rsidRPr="00E3079E">
          <w:rPr>
            <w:rStyle w:val="Hyperlink"/>
            <w:b/>
            <w:szCs w:val="24"/>
          </w:rPr>
          <w:t>data is reviewed annually</w:t>
        </w:r>
      </w:hyperlink>
      <w:r w:rsidRPr="00E3079E">
        <w:rPr>
          <w:b/>
          <w:szCs w:val="24"/>
        </w:rPr>
        <w:t xml:space="preserve"> and that a </w:t>
      </w:r>
      <w:hyperlink r:id="rId33" w:history="1">
        <w:r w:rsidRPr="00E3079E">
          <w:rPr>
            <w:rStyle w:val="Hyperlink"/>
            <w:b/>
            <w:szCs w:val="24"/>
          </w:rPr>
          <w:t>data improvement plan</w:t>
        </w:r>
      </w:hyperlink>
      <w:r w:rsidRPr="00E3079E">
        <w:rPr>
          <w:b/>
          <w:szCs w:val="24"/>
        </w:rPr>
        <w:t xml:space="preserve"> is in place.</w:t>
      </w:r>
    </w:p>
    <w:p w14:paraId="6BBC04A5" w14:textId="41E94811" w:rsidR="007F7A10" w:rsidRPr="007F7A10" w:rsidRDefault="00F33680" w:rsidP="004670F2">
      <w:pPr>
        <w:rPr>
          <w:sz w:val="22"/>
        </w:rPr>
      </w:pPr>
      <w:r w:rsidRPr="00E3079E">
        <w:rPr>
          <w:szCs w:val="24"/>
        </w:rPr>
        <w:t xml:space="preserve">Non-completion of either of the above requests </w:t>
      </w:r>
      <w:r w:rsidR="00EB33BD" w:rsidRPr="00E3079E">
        <w:rPr>
          <w:szCs w:val="24"/>
        </w:rPr>
        <w:t xml:space="preserve">for information </w:t>
      </w:r>
      <w:r w:rsidRPr="00E3079E">
        <w:rPr>
          <w:szCs w:val="24"/>
        </w:rPr>
        <w:t>may indicate wider governance failings to TPR.</w:t>
      </w:r>
    </w:p>
    <w:p w14:paraId="030CDD85" w14:textId="6560791F" w:rsidR="004670F2" w:rsidRPr="005D0FDB" w:rsidRDefault="004670F2">
      <w:pPr>
        <w:pStyle w:val="Heading2"/>
      </w:pPr>
      <w:bookmarkStart w:id="122" w:name="_Toc75332395"/>
      <w:r w:rsidRPr="005D0FDB">
        <w:t>Data transfer</w:t>
      </w:r>
      <w:bookmarkEnd w:id="122"/>
    </w:p>
    <w:p w14:paraId="15DD9789" w14:textId="00141B9D" w:rsidR="000D06BA" w:rsidRPr="00E3079E" w:rsidRDefault="000D06BA" w:rsidP="004670F2">
      <w:pPr>
        <w:rPr>
          <w:szCs w:val="24"/>
        </w:rPr>
      </w:pPr>
      <w:r w:rsidRPr="00E3079E">
        <w:rPr>
          <w:b/>
          <w:szCs w:val="24"/>
        </w:rPr>
        <w:t xml:space="preserve">The scheme manager will ensure that processes are in place for timely and accurate transfer of data. </w:t>
      </w:r>
    </w:p>
    <w:p w14:paraId="5194FE3B" w14:textId="055450D0" w:rsidR="007F7A10" w:rsidRDefault="007F7A10" w:rsidP="004670F2">
      <w:pPr>
        <w:rPr>
          <w:szCs w:val="24"/>
        </w:rPr>
      </w:pPr>
      <w:r w:rsidRPr="00E3079E">
        <w:rPr>
          <w:szCs w:val="24"/>
        </w:rPr>
        <w:t xml:space="preserve">Data will be transferred to the administrator electronically on a </w:t>
      </w:r>
      <w:r w:rsidR="000D06BA" w:rsidRPr="00E3079E">
        <w:rPr>
          <w:szCs w:val="24"/>
        </w:rPr>
        <w:t>[</w:t>
      </w:r>
      <w:r w:rsidRPr="00E3079E">
        <w:rPr>
          <w:szCs w:val="24"/>
          <w:highlight w:val="yellow"/>
        </w:rPr>
        <w:t>monthly/ annual</w:t>
      </w:r>
      <w:r w:rsidR="000D06BA" w:rsidRPr="00E3079E">
        <w:rPr>
          <w:szCs w:val="24"/>
        </w:rPr>
        <w:t>]</w:t>
      </w:r>
      <w:r w:rsidRPr="00E3079E">
        <w:rPr>
          <w:szCs w:val="24"/>
        </w:rPr>
        <w:t xml:space="preserve"> basis</w:t>
      </w:r>
      <w:r w:rsidR="000D06BA" w:rsidRPr="00E3079E">
        <w:rPr>
          <w:szCs w:val="24"/>
        </w:rPr>
        <w:t xml:space="preserve"> in line with the deadlines set out in </w:t>
      </w:r>
      <w:hyperlink w:anchor="_Service_standards" w:history="1">
        <w:r w:rsidR="00556C11">
          <w:rPr>
            <w:rStyle w:val="Hyperlink"/>
            <w:szCs w:val="24"/>
          </w:rPr>
          <w:t>10. Service standards</w:t>
        </w:r>
      </w:hyperlink>
      <w:r w:rsidRPr="00E3079E">
        <w:rPr>
          <w:szCs w:val="24"/>
        </w:rPr>
        <w:t xml:space="preserve">. </w:t>
      </w:r>
    </w:p>
    <w:p w14:paraId="20C40D16" w14:textId="628A594F" w:rsidR="00405329" w:rsidRDefault="00BB7E95" w:rsidP="00405329">
      <w:r>
        <w:t>Data validation and cleansing processes should be in place in</w:t>
      </w:r>
      <w:r w:rsidR="004F5373">
        <w:t xml:space="preserve"> accordance with TPR requirements.</w:t>
      </w:r>
    </w:p>
    <w:p w14:paraId="70911858" w14:textId="77777777" w:rsidR="00405329" w:rsidRDefault="00405329">
      <w:pPr>
        <w:spacing w:after="0"/>
      </w:pPr>
      <w:r>
        <w:br w:type="page"/>
      </w:r>
    </w:p>
    <w:p w14:paraId="5BE9F95F" w14:textId="2D3FF419" w:rsidR="004670F2" w:rsidRDefault="004670F2">
      <w:pPr>
        <w:pStyle w:val="Heading2"/>
      </w:pPr>
      <w:bookmarkStart w:id="123" w:name="_Toc75332396"/>
      <w:r w:rsidRPr="005D0FDB">
        <w:lastRenderedPageBreak/>
        <w:t>Contribution bands</w:t>
      </w:r>
      <w:bookmarkEnd w:id="123"/>
    </w:p>
    <w:p w14:paraId="2703F5C6" w14:textId="667C7C4D" w:rsidR="00B521B1" w:rsidRPr="00527A41" w:rsidRDefault="00B521B1" w:rsidP="00E3079E">
      <w:pPr>
        <w:rPr>
          <w:szCs w:val="24"/>
        </w:rPr>
      </w:pPr>
      <w:r w:rsidRPr="00E3079E">
        <w:rPr>
          <w:szCs w:val="24"/>
        </w:rPr>
        <w:t xml:space="preserve">Banded contribution rates apply to the FPS based on a member’s pensionable pay. </w:t>
      </w:r>
    </w:p>
    <w:p w14:paraId="222BE72E" w14:textId="37D06141" w:rsidR="000D06BA" w:rsidRPr="00E3079E" w:rsidRDefault="000D06BA" w:rsidP="000D06BA">
      <w:pPr>
        <w:rPr>
          <w:b/>
          <w:szCs w:val="24"/>
        </w:rPr>
      </w:pPr>
      <w:r w:rsidRPr="00E3079E">
        <w:rPr>
          <w:b/>
          <w:szCs w:val="24"/>
        </w:rPr>
        <w:t>The scheme manager will ensure that there are processes in place to allocate members to the correct contribution band at the start of each scheme year.</w:t>
      </w:r>
    </w:p>
    <w:p w14:paraId="74381267" w14:textId="6C435D20" w:rsidR="00B521B1" w:rsidRPr="00E3079E" w:rsidRDefault="000D06BA" w:rsidP="000D06BA">
      <w:pPr>
        <w:rPr>
          <w:szCs w:val="24"/>
        </w:rPr>
      </w:pPr>
      <w:r w:rsidRPr="00E3079E">
        <w:rPr>
          <w:szCs w:val="24"/>
        </w:rPr>
        <w:t xml:space="preserve">Contributions are </w:t>
      </w:r>
      <w:r w:rsidR="00B521B1" w:rsidRPr="00E3079E">
        <w:rPr>
          <w:szCs w:val="24"/>
        </w:rPr>
        <w:t xml:space="preserve">laid in legislation for each scheme and can be found on the </w:t>
      </w:r>
      <w:hyperlink r:id="rId34" w:history="1">
        <w:r w:rsidR="00B521B1" w:rsidRPr="00E3079E">
          <w:rPr>
            <w:rStyle w:val="Hyperlink"/>
            <w:szCs w:val="24"/>
          </w:rPr>
          <w:t>annual updates</w:t>
        </w:r>
      </w:hyperlink>
      <w:r w:rsidR="00B521B1" w:rsidRPr="00E3079E">
        <w:rPr>
          <w:szCs w:val="24"/>
        </w:rPr>
        <w:t xml:space="preserve"> page of the Regulations and Guidance website. </w:t>
      </w:r>
    </w:p>
    <w:p w14:paraId="10B9FF2C" w14:textId="054C8916" w:rsidR="007F7A10" w:rsidRPr="007F7A10" w:rsidRDefault="00B521B1" w:rsidP="004670F2">
      <w:pPr>
        <w:rPr>
          <w:sz w:val="22"/>
        </w:rPr>
      </w:pPr>
      <w:r w:rsidRPr="00E3079E">
        <w:rPr>
          <w:b/>
          <w:szCs w:val="24"/>
        </w:rPr>
        <w:t>Until remedy in the transitional protections case is implemented, the scheme manager will have a process in place to manage members tapering</w:t>
      </w:r>
      <w:r w:rsidRPr="00E3079E">
        <w:rPr>
          <w:szCs w:val="24"/>
        </w:rPr>
        <w:t xml:space="preserve"> from FPS 1992 or 2006 to FPS 2015. The process should confirm how the taper date is notified to payroll and what kind of monitoring is in place to ensure contributions are changed on the correct da</w:t>
      </w:r>
      <w:r w:rsidR="002C595E">
        <w:rPr>
          <w:szCs w:val="24"/>
        </w:rPr>
        <w:t>te</w:t>
      </w:r>
      <w:r w:rsidRPr="00E3079E">
        <w:rPr>
          <w:szCs w:val="24"/>
        </w:rPr>
        <w:t xml:space="preserve">. </w:t>
      </w:r>
    </w:p>
    <w:p w14:paraId="4A7EE4B8" w14:textId="34F2B240" w:rsidR="004670F2" w:rsidRDefault="004670F2">
      <w:pPr>
        <w:pStyle w:val="Heading2"/>
      </w:pPr>
      <w:bookmarkStart w:id="124" w:name="_Reporting_breaches"/>
      <w:bookmarkStart w:id="125" w:name="_Toc75332397"/>
      <w:bookmarkEnd w:id="124"/>
      <w:r w:rsidRPr="005D0FDB">
        <w:t>Reporting breaches</w:t>
      </w:r>
      <w:bookmarkEnd w:id="125"/>
    </w:p>
    <w:p w14:paraId="41D31FBC" w14:textId="47DDAB3F" w:rsidR="00ED078B" w:rsidRPr="00527A41" w:rsidRDefault="00ED078B" w:rsidP="00ED078B">
      <w:r w:rsidRPr="00E3079E">
        <w:rPr>
          <w:b/>
        </w:rPr>
        <w:t>Scheme managers and pension board members have a statutory obligation to</w:t>
      </w:r>
      <w:r w:rsidR="00D52863">
        <w:rPr>
          <w:b/>
        </w:rPr>
        <w:t xml:space="preserve"> record and</w:t>
      </w:r>
      <w:r w:rsidRPr="00E3079E">
        <w:rPr>
          <w:b/>
        </w:rPr>
        <w:t xml:space="preserve"> report breaches of the law. </w:t>
      </w:r>
    </w:p>
    <w:p w14:paraId="230FBA79" w14:textId="7EC22A85" w:rsidR="001A298E" w:rsidRPr="00E3079E" w:rsidRDefault="00ED078B" w:rsidP="00ED078B">
      <w:r w:rsidRPr="00527A41">
        <w:t>When a p</w:t>
      </w:r>
      <w:r w:rsidRPr="003C3B62">
        <w:t xml:space="preserve">otential breach has been identified, the </w:t>
      </w:r>
      <w:hyperlink r:id="rId35" w:history="1">
        <w:r w:rsidRPr="00527A41">
          <w:rPr>
            <w:rStyle w:val="Hyperlink"/>
          </w:rPr>
          <w:t>breach assessment template</w:t>
        </w:r>
      </w:hyperlink>
      <w:r w:rsidRPr="00527A41">
        <w:t xml:space="preserve"> should be completed to assess the breach for materiality </w:t>
      </w:r>
      <w:r w:rsidR="007E4F53">
        <w:t xml:space="preserve">in order </w:t>
      </w:r>
      <w:r w:rsidRPr="00527A41">
        <w:t xml:space="preserve">to determine whether it needs to be reported to TPR. </w:t>
      </w:r>
      <w:r w:rsidR="001A298E" w:rsidRPr="00E3079E">
        <w:t>This can also be stored as documentary evidence if the decision is later challenged.</w:t>
      </w:r>
    </w:p>
    <w:p w14:paraId="3FF92487" w14:textId="48CF41BC" w:rsidR="00C6392D" w:rsidRPr="00FA3FCA" w:rsidRDefault="001A298E" w:rsidP="00ED078B">
      <w:r w:rsidRPr="00527A41">
        <w:rPr>
          <w:rFonts w:cs="Arial"/>
        </w:rPr>
        <w:t>Although a breach may not seem material in terms of numbers of members affected, if the same members are consistently affecte</w:t>
      </w:r>
      <w:r w:rsidRPr="00E3079E">
        <w:rPr>
          <w:rFonts w:cs="Arial"/>
        </w:rPr>
        <w:t>d</w:t>
      </w:r>
      <w:r w:rsidRPr="00527A41">
        <w:rPr>
          <w:rFonts w:cs="Arial"/>
        </w:rPr>
        <w:t xml:space="preserve">, this should be </w:t>
      </w:r>
      <w:r w:rsidRPr="00E3079E">
        <w:rPr>
          <w:rFonts w:cs="Arial"/>
        </w:rPr>
        <w:t>considered</w:t>
      </w:r>
      <w:r w:rsidRPr="00527A41">
        <w:rPr>
          <w:rFonts w:cs="Arial"/>
        </w:rPr>
        <w:t>, along with likely timescales for rectification</w:t>
      </w:r>
      <w:r w:rsidRPr="003C3B62">
        <w:rPr>
          <w:rFonts w:cs="Arial"/>
        </w:rPr>
        <w:t xml:space="preserve"> and what action may be taken to ensure that the breach does not reoccur.</w:t>
      </w:r>
    </w:p>
    <w:p w14:paraId="01C69E69" w14:textId="2682EF25" w:rsidR="001A298E" w:rsidRDefault="00C6392D" w:rsidP="001A298E">
      <w:r w:rsidRPr="00FA3FCA">
        <w:t xml:space="preserve">Further information about </w:t>
      </w:r>
      <w:hyperlink r:id="rId36" w:history="1">
        <w:r w:rsidRPr="00182C1C">
          <w:rPr>
            <w:rStyle w:val="Hyperlink"/>
          </w:rPr>
          <w:t>breach recording and reporting</w:t>
        </w:r>
      </w:hyperlink>
      <w:r w:rsidRPr="00FA3FCA">
        <w:t xml:space="preserve"> can be found in the </w:t>
      </w:r>
      <w:hyperlink r:id="rId37" w:history="1">
        <w:r w:rsidRPr="00527A41">
          <w:rPr>
            <w:rStyle w:val="Hyperlink"/>
          </w:rPr>
          <w:t>TPR six key processes</w:t>
        </w:r>
      </w:hyperlink>
      <w:r w:rsidRPr="00527A41">
        <w:t xml:space="preserve"> factsheet</w:t>
      </w:r>
      <w:r w:rsidR="007F2C07">
        <w:t>.</w:t>
      </w:r>
    </w:p>
    <w:p w14:paraId="28648C5E" w14:textId="14AF4AD1" w:rsidR="001A298E" w:rsidRDefault="00616EB8">
      <w:pPr>
        <w:pStyle w:val="Heading2"/>
      </w:pPr>
      <w:bookmarkStart w:id="126" w:name="_Toc75332398"/>
      <w:r w:rsidRPr="00616EB8">
        <w:t>Top-up grant</w:t>
      </w:r>
      <w:bookmarkEnd w:id="126"/>
      <w:r w:rsidRPr="00616EB8">
        <w:t xml:space="preserve"> </w:t>
      </w:r>
    </w:p>
    <w:p w14:paraId="59F5AA54" w14:textId="4AE530D2" w:rsidR="000D2CF2" w:rsidRDefault="00456065" w:rsidP="00ED078B">
      <w:pPr>
        <w:rPr>
          <w:szCs w:val="24"/>
        </w:rPr>
      </w:pPr>
      <w:r w:rsidRPr="00316485">
        <w:rPr>
          <w:szCs w:val="24"/>
        </w:rPr>
        <w:t xml:space="preserve">Each year the Home Office </w:t>
      </w:r>
      <w:r w:rsidR="000D2CF2" w:rsidRPr="00316485">
        <w:rPr>
          <w:szCs w:val="24"/>
        </w:rPr>
        <w:t>commissions FRA</w:t>
      </w:r>
      <w:r w:rsidR="00CB2691">
        <w:rPr>
          <w:szCs w:val="24"/>
        </w:rPr>
        <w:t>s</w:t>
      </w:r>
      <w:r w:rsidR="000D2CF2" w:rsidRPr="00316485">
        <w:rPr>
          <w:szCs w:val="24"/>
        </w:rPr>
        <w:t xml:space="preserve"> to submit pension </w:t>
      </w:r>
      <w:r w:rsidR="000D2CF2" w:rsidRPr="000D2CF2">
        <w:rPr>
          <w:szCs w:val="24"/>
        </w:rPr>
        <w:t>forecasts for the following seven financial years</w:t>
      </w:r>
      <w:r w:rsidR="000D2CF2">
        <w:rPr>
          <w:szCs w:val="24"/>
        </w:rPr>
        <w:t xml:space="preserve"> in line with the following timescales</w:t>
      </w:r>
      <w:r w:rsidR="000D2CF2" w:rsidRPr="000D2CF2">
        <w:rPr>
          <w:szCs w:val="24"/>
        </w:rPr>
        <w:t xml:space="preserve">. </w:t>
      </w:r>
    </w:p>
    <w:p w14:paraId="3E4C62E3" w14:textId="60E7E5AF" w:rsidR="000D2CF2" w:rsidRDefault="00543519" w:rsidP="00316485">
      <w:pPr>
        <w:jc w:val="center"/>
        <w:rPr>
          <w:szCs w:val="24"/>
        </w:rPr>
      </w:pPr>
      <w:r>
        <w:rPr>
          <w:noProof/>
        </w:rPr>
        <w:drawing>
          <wp:inline distT="0" distB="0" distL="0" distR="0" wp14:anchorId="49DED4F6" wp14:editId="0E69DE18">
            <wp:extent cx="4527550" cy="2101259"/>
            <wp:effectExtent l="0" t="0" r="6350" b="0"/>
            <wp:docPr id="3" name="Picture 3" descr="Flowchart showing timescales for submitting pension forecasts to the Home Off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Flowchart showing timescales for submitting pension forecasts to the Home Office"/>
                    <pic:cNvPicPr/>
                  </pic:nvPicPr>
                  <pic:blipFill>
                    <a:blip r:embed="rId38"/>
                    <a:stretch>
                      <a:fillRect/>
                    </a:stretch>
                  </pic:blipFill>
                  <pic:spPr>
                    <a:xfrm>
                      <a:off x="0" y="0"/>
                      <a:ext cx="4535850" cy="2105111"/>
                    </a:xfrm>
                    <a:prstGeom prst="rect">
                      <a:avLst/>
                    </a:prstGeom>
                  </pic:spPr>
                </pic:pic>
              </a:graphicData>
            </a:graphic>
          </wp:inline>
        </w:drawing>
      </w:r>
    </w:p>
    <w:p w14:paraId="724A6997" w14:textId="2490C6D6" w:rsidR="00935DEC" w:rsidRDefault="000D2CF2" w:rsidP="00ED078B">
      <w:pPr>
        <w:rPr>
          <w:sz w:val="22"/>
        </w:rPr>
      </w:pPr>
      <w:r w:rsidRPr="000D2CF2">
        <w:rPr>
          <w:szCs w:val="24"/>
        </w:rPr>
        <w:lastRenderedPageBreak/>
        <w:t>The pension forecasts for the financial year following the collection are used to make an initial assessment on each fire authority’s annual top up grant entitlement for that year.</w:t>
      </w:r>
    </w:p>
    <w:p w14:paraId="1FD77222" w14:textId="2405A453" w:rsidR="00DD5D85" w:rsidRDefault="00935DEC" w:rsidP="00ED078B">
      <w:r>
        <w:t xml:space="preserve">The collection of accurate annual pension forecast data is critical for ensuring sufficient budget cover is secured to make pension top up grant payments to </w:t>
      </w:r>
      <w:r w:rsidR="00DD5D85">
        <w:t>FRAs each year.</w:t>
      </w:r>
    </w:p>
    <w:p w14:paraId="72620ACB" w14:textId="1C9A196C" w:rsidR="00DD5D85" w:rsidRDefault="00DD5D85" w:rsidP="00ED078B">
      <w:pPr>
        <w:rPr>
          <w:b/>
          <w:bCs/>
          <w:szCs w:val="24"/>
        </w:rPr>
      </w:pPr>
      <w:r w:rsidRPr="00AA57C2">
        <w:rPr>
          <w:b/>
          <w:bCs/>
          <w:szCs w:val="24"/>
        </w:rPr>
        <w:t>The scheme manager is responsible for ensuring this information is submitted accurately and on time.</w:t>
      </w:r>
    </w:p>
    <w:p w14:paraId="1D96461C" w14:textId="02898ACA" w:rsidR="00ED078B" w:rsidRPr="00316485" w:rsidRDefault="008E76B8" w:rsidP="00E3079E">
      <w:pPr>
        <w:rPr>
          <w:szCs w:val="24"/>
        </w:rPr>
      </w:pPr>
      <w:r>
        <w:rPr>
          <w:szCs w:val="24"/>
        </w:rPr>
        <w:t>Full details are available in the</w:t>
      </w:r>
      <w:r w:rsidR="00DD5D85" w:rsidRPr="00316485">
        <w:rPr>
          <w:szCs w:val="24"/>
        </w:rPr>
        <w:t xml:space="preserve"> </w:t>
      </w:r>
      <w:hyperlink r:id="rId39" w:history="1">
        <w:r w:rsidRPr="00316485">
          <w:rPr>
            <w:rStyle w:val="Hyperlink"/>
          </w:rPr>
          <w:t>guide for fire authorities (in England) when calculating pension forecasts for the Firefighters’ Pension Top Up Grant</w:t>
        </w:r>
      </w:hyperlink>
      <w:r w:rsidRPr="00316485">
        <w:rPr>
          <w:szCs w:val="24"/>
        </w:rPr>
        <w:t>.</w:t>
      </w:r>
    </w:p>
    <w:p w14:paraId="290C5260" w14:textId="23B26D77" w:rsidR="005D0FDB" w:rsidRDefault="005D0FDB">
      <w:pPr>
        <w:pStyle w:val="Heading2"/>
      </w:pPr>
      <w:bookmarkStart w:id="127" w:name="_HMRC_reporting"/>
      <w:bookmarkStart w:id="128" w:name="_Toc75332399"/>
      <w:bookmarkEnd w:id="127"/>
      <w:r>
        <w:t>HMRC reporting</w:t>
      </w:r>
      <w:bookmarkEnd w:id="128"/>
    </w:p>
    <w:p w14:paraId="7E70C011" w14:textId="427A1786" w:rsidR="0034364D" w:rsidRPr="00405329" w:rsidRDefault="00EA4EF2" w:rsidP="00C6392D">
      <w:pPr>
        <w:rPr>
          <w:b/>
          <w:bCs/>
          <w:sz w:val="28"/>
        </w:rPr>
      </w:pPr>
      <w:r w:rsidRPr="00405329">
        <w:rPr>
          <w:b/>
          <w:bCs/>
        </w:rPr>
        <w:t xml:space="preserve">Although the scheme manager retains legal responsibility, </w:t>
      </w:r>
      <w:r w:rsidR="00C6392D" w:rsidRPr="00405329">
        <w:rPr>
          <w:b/>
          <w:bCs/>
        </w:rPr>
        <w:t xml:space="preserve">HMRC reporting may be delegated to the administrator under the terms of the service level agreement. </w:t>
      </w:r>
    </w:p>
    <w:p w14:paraId="001E1607" w14:textId="2B85471C" w:rsidR="0034364D" w:rsidRPr="003C3B62" w:rsidRDefault="0034364D" w:rsidP="00316485">
      <w:pPr>
        <w:autoSpaceDE w:val="0"/>
        <w:autoSpaceDN w:val="0"/>
        <w:adjustRightInd w:val="0"/>
        <w:rPr>
          <w:lang w:val="en"/>
        </w:rPr>
      </w:pPr>
      <w:r w:rsidRPr="00E3079E">
        <w:rPr>
          <w:rFonts w:cs="Arial"/>
          <w:b/>
          <w:color w:val="000000"/>
          <w:szCs w:val="24"/>
        </w:rPr>
        <w:t xml:space="preserve">Event </w:t>
      </w:r>
      <w:r w:rsidR="000C738D" w:rsidRPr="003C3B62">
        <w:rPr>
          <w:rFonts w:cs="Arial"/>
          <w:b/>
          <w:color w:val="000000"/>
          <w:szCs w:val="24"/>
        </w:rPr>
        <w:t>R</w:t>
      </w:r>
      <w:r w:rsidR="000C738D" w:rsidRPr="00E3079E">
        <w:rPr>
          <w:rFonts w:cs="Arial"/>
          <w:b/>
          <w:color w:val="000000"/>
          <w:szCs w:val="24"/>
        </w:rPr>
        <w:t>eporting</w:t>
      </w:r>
      <w:r w:rsidR="000C738D" w:rsidRPr="003C3B62">
        <w:rPr>
          <w:rFonts w:cs="Arial"/>
          <w:b/>
          <w:color w:val="000000"/>
          <w:szCs w:val="24"/>
        </w:rPr>
        <w:t xml:space="preserve"> </w:t>
      </w:r>
      <w:r w:rsidR="000C738D" w:rsidRPr="00E3079E">
        <w:rPr>
          <w:rFonts w:cs="Arial"/>
          <w:color w:val="000000"/>
          <w:szCs w:val="24"/>
        </w:rPr>
        <w:t>– the</w:t>
      </w:r>
      <w:r w:rsidR="000C738D" w:rsidRPr="003C3B62">
        <w:rPr>
          <w:rFonts w:cs="Arial"/>
          <w:b/>
          <w:color w:val="000000"/>
          <w:szCs w:val="24"/>
        </w:rPr>
        <w:t xml:space="preserve"> </w:t>
      </w:r>
      <w:r w:rsidRPr="003C3B62">
        <w:rPr>
          <w:lang w:val="en"/>
        </w:rPr>
        <w:t>scheme administrator of a registered pension scheme must tell HMRC when certain reportable events occur</w:t>
      </w:r>
      <w:r w:rsidR="000C738D" w:rsidRPr="003C3B62">
        <w:t xml:space="preserve"> </w:t>
      </w:r>
      <w:r w:rsidR="000C738D" w:rsidRPr="003C3B62">
        <w:rPr>
          <w:lang w:val="en"/>
        </w:rPr>
        <w:t>no later than 31 January following the end of the tax year</w:t>
      </w:r>
      <w:r w:rsidRPr="003C3B62">
        <w:rPr>
          <w:lang w:val="en"/>
        </w:rPr>
        <w:t>. This is done by submitting the Event Report for a tax year.</w:t>
      </w:r>
    </w:p>
    <w:p w14:paraId="1D3FBC26" w14:textId="77777777" w:rsidR="0034364D" w:rsidRPr="003C3B62" w:rsidRDefault="0034364D" w:rsidP="0034364D">
      <w:pPr>
        <w:rPr>
          <w:lang w:val="en"/>
        </w:rPr>
      </w:pPr>
      <w:r w:rsidRPr="003C3B62">
        <w:rPr>
          <w:lang w:val="en"/>
        </w:rPr>
        <w:t>These reportable events are split into two categories:</w:t>
      </w:r>
    </w:p>
    <w:p w14:paraId="3121BAB9" w14:textId="77777777" w:rsidR="0034364D" w:rsidRPr="00FA3FCA" w:rsidRDefault="0034364D" w:rsidP="00316485">
      <w:pPr>
        <w:pStyle w:val="Bulletlist"/>
        <w:rPr>
          <w:lang w:val="en"/>
        </w:rPr>
      </w:pPr>
      <w:r w:rsidRPr="00FA3FCA">
        <w:rPr>
          <w:lang w:val="en"/>
        </w:rPr>
        <w:t>reportable changes, and</w:t>
      </w:r>
    </w:p>
    <w:p w14:paraId="3EB2EBCC" w14:textId="49938758" w:rsidR="0034364D" w:rsidRPr="00316485" w:rsidRDefault="0034364D" w:rsidP="00316485">
      <w:pPr>
        <w:pStyle w:val="Bulletlist"/>
        <w:rPr>
          <w:sz w:val="28"/>
          <w:lang w:val="en"/>
        </w:rPr>
      </w:pPr>
      <w:r w:rsidRPr="003C3B62">
        <w:rPr>
          <w:lang w:val="en"/>
        </w:rPr>
        <w:t>reportable fund movements.</w:t>
      </w:r>
    </w:p>
    <w:p w14:paraId="269475C7" w14:textId="7C5915DC" w:rsidR="001A298E" w:rsidRDefault="001A298E" w:rsidP="00316485">
      <w:pPr>
        <w:jc w:val="both"/>
        <w:rPr>
          <w:lang w:val="en"/>
        </w:rPr>
      </w:pPr>
      <w:r w:rsidRPr="003C3B62">
        <w:rPr>
          <w:lang w:eastAsia="en-GB"/>
        </w:rPr>
        <w:t xml:space="preserve">There are 23 reportable events. </w:t>
      </w:r>
      <w:hyperlink r:id="rId40" w:anchor="event-reports" w:history="1">
        <w:r w:rsidRPr="003C3B62">
          <w:rPr>
            <w:rStyle w:val="Hyperlink"/>
            <w:lang w:eastAsia="en-GB"/>
          </w:rPr>
          <w:t>HMRC guidance on sending pension scheme reports</w:t>
        </w:r>
      </w:hyperlink>
      <w:r w:rsidRPr="003C3B62">
        <w:rPr>
          <w:lang w:eastAsia="en-GB"/>
        </w:rPr>
        <w:t xml:space="preserve"> provides more information on all events that you must report. </w:t>
      </w:r>
    </w:p>
    <w:p w14:paraId="67EAD3C2" w14:textId="6306A569" w:rsidR="0034364D" w:rsidRPr="003C3B62" w:rsidRDefault="0034364D" w:rsidP="00E3079E">
      <w:pPr>
        <w:rPr>
          <w:szCs w:val="24"/>
          <w:lang w:val="en"/>
        </w:rPr>
      </w:pPr>
      <w:r w:rsidRPr="003C3B62">
        <w:rPr>
          <w:szCs w:val="24"/>
          <w:lang w:val="en"/>
        </w:rPr>
        <w:t xml:space="preserve">Full details on Event </w:t>
      </w:r>
      <w:r w:rsidR="000C738D" w:rsidRPr="003C3B62">
        <w:rPr>
          <w:szCs w:val="24"/>
          <w:lang w:val="en"/>
        </w:rPr>
        <w:t>R</w:t>
      </w:r>
      <w:r w:rsidRPr="003C3B62">
        <w:rPr>
          <w:szCs w:val="24"/>
          <w:lang w:val="en"/>
        </w:rPr>
        <w:t xml:space="preserve">eporting can be found in </w:t>
      </w:r>
      <w:hyperlink r:id="rId41" w:history="1">
        <w:r w:rsidRPr="00212EA9">
          <w:rPr>
            <w:rStyle w:val="Hyperlink"/>
            <w:szCs w:val="24"/>
            <w:lang w:val="en"/>
          </w:rPr>
          <w:t xml:space="preserve">HMRC Pensions Tax Manual </w:t>
        </w:r>
        <w:r w:rsidR="00212EA9" w:rsidRPr="00212EA9">
          <w:rPr>
            <w:rStyle w:val="Hyperlink"/>
            <w:szCs w:val="24"/>
            <w:lang w:val="en"/>
          </w:rPr>
          <w:t>161100</w:t>
        </w:r>
      </w:hyperlink>
      <w:r w:rsidR="00212EA9">
        <w:rPr>
          <w:szCs w:val="24"/>
          <w:lang w:val="en"/>
        </w:rPr>
        <w:t>.</w:t>
      </w:r>
    </w:p>
    <w:p w14:paraId="17DDD56F" w14:textId="06D787BC" w:rsidR="000C738D" w:rsidRDefault="000C738D">
      <w:pPr>
        <w:spacing w:after="0"/>
        <w:rPr>
          <w:szCs w:val="24"/>
        </w:rPr>
      </w:pPr>
      <w:r w:rsidRPr="00E3079E">
        <w:rPr>
          <w:b/>
          <w:szCs w:val="24"/>
        </w:rPr>
        <w:t xml:space="preserve">Accounting for tax (AFT) </w:t>
      </w:r>
      <w:r w:rsidRPr="00E3079E">
        <w:rPr>
          <w:szCs w:val="24"/>
        </w:rPr>
        <w:t>– the scheme administrator is liable for payment of certain tax charges in connection with the scheme. When a scheme administrator does have a tax liability, the return that the scheme administrator must complete to account for that liability is called the Accounting for Tax return.</w:t>
      </w:r>
    </w:p>
    <w:p w14:paraId="1AA0A437" w14:textId="77777777" w:rsidR="0045456E" w:rsidRPr="00E3079E" w:rsidRDefault="0045456E" w:rsidP="00405329">
      <w:pPr>
        <w:spacing w:after="0"/>
        <w:rPr>
          <w:szCs w:val="24"/>
        </w:rPr>
      </w:pPr>
    </w:p>
    <w:p w14:paraId="3D1E10CF" w14:textId="7FD66D44" w:rsidR="000C738D" w:rsidRDefault="000C738D" w:rsidP="000C738D">
      <w:pPr>
        <w:rPr>
          <w:szCs w:val="24"/>
          <w:lang w:val="en"/>
        </w:rPr>
      </w:pPr>
      <w:r w:rsidRPr="00E3079E">
        <w:rPr>
          <w:szCs w:val="24"/>
          <w:lang w:val="en"/>
        </w:rPr>
        <w:t xml:space="preserve">The scheme administrator is responsible for making the AFT return and for ensuring it is correct and complete. </w:t>
      </w:r>
    </w:p>
    <w:p w14:paraId="602ACD33" w14:textId="3E555E62" w:rsidR="00B928B7" w:rsidRPr="00E3079E" w:rsidRDefault="00B928B7" w:rsidP="000C738D">
      <w:pPr>
        <w:rPr>
          <w:szCs w:val="24"/>
          <w:lang w:val="en"/>
        </w:rPr>
      </w:pPr>
      <w:r>
        <w:t xml:space="preserve">Please note this is not a reference to the pension administration provider.  </w:t>
      </w:r>
      <w:r>
        <w:t>Scheme administrator in this context</w:t>
      </w:r>
      <w:r>
        <w:t xml:space="preserve"> refers to the duties of the </w:t>
      </w:r>
      <w:r>
        <w:t>FRA</w:t>
      </w:r>
      <w:r>
        <w:t xml:space="preserve"> as stated in paragraph 3, sub paragraph 2 of </w:t>
      </w:r>
      <w:hyperlink r:id="rId42" w:history="1">
        <w:r w:rsidRPr="00003339">
          <w:rPr>
            <w:rStyle w:val="Hyperlink"/>
          </w:rPr>
          <w:t>2006/569</w:t>
        </w:r>
      </w:hyperlink>
      <w:r>
        <w:t xml:space="preserve"> which confirms that references to ‘scheme administrator’ as set out in schedule 3 should be read as a reference to the sub-scheme administrator as per schedule 2, in which the FRAs are listed.</w:t>
      </w:r>
    </w:p>
    <w:p w14:paraId="342DEDDF" w14:textId="77777777" w:rsidR="00405329" w:rsidRDefault="00405329">
      <w:pPr>
        <w:spacing w:after="0"/>
        <w:rPr>
          <w:szCs w:val="24"/>
          <w:lang w:val="en"/>
        </w:rPr>
      </w:pPr>
      <w:r>
        <w:rPr>
          <w:szCs w:val="24"/>
          <w:lang w:val="en"/>
        </w:rPr>
        <w:br w:type="page"/>
      </w:r>
    </w:p>
    <w:p w14:paraId="1C93F805" w14:textId="19E9AA10" w:rsidR="000C738D" w:rsidRPr="00E3079E" w:rsidRDefault="000C738D" w:rsidP="000C738D">
      <w:pPr>
        <w:rPr>
          <w:szCs w:val="24"/>
          <w:lang w:val="en"/>
        </w:rPr>
      </w:pPr>
      <w:r w:rsidRPr="00E3079E">
        <w:rPr>
          <w:szCs w:val="24"/>
          <w:lang w:val="en"/>
        </w:rPr>
        <w:lastRenderedPageBreak/>
        <w:t xml:space="preserve">A </w:t>
      </w:r>
      <w:r w:rsidR="00883A15">
        <w:rPr>
          <w:szCs w:val="24"/>
          <w:lang w:val="en"/>
        </w:rPr>
        <w:t>third-party administration provider</w:t>
      </w:r>
      <w:r w:rsidR="0016331B">
        <w:rPr>
          <w:szCs w:val="24"/>
          <w:lang w:val="en"/>
        </w:rPr>
        <w:t xml:space="preserve"> </w:t>
      </w:r>
      <w:r w:rsidRPr="00E3079E">
        <w:rPr>
          <w:szCs w:val="24"/>
          <w:lang w:val="en"/>
        </w:rPr>
        <w:t>can file the AFT on behalf of the scheme administrator</w:t>
      </w:r>
      <w:r w:rsidR="00FD5434">
        <w:rPr>
          <w:szCs w:val="24"/>
          <w:lang w:val="en"/>
        </w:rPr>
        <w:t>,</w:t>
      </w:r>
      <w:r w:rsidRPr="00E3079E">
        <w:rPr>
          <w:szCs w:val="24"/>
          <w:lang w:val="en"/>
        </w:rPr>
        <w:t xml:space="preserve"> but the scheme administrator remains responsible for ensuring that it is submitted on time and the contents are correct. Where a </w:t>
      </w:r>
      <w:r w:rsidR="00883A15">
        <w:rPr>
          <w:szCs w:val="24"/>
          <w:lang w:val="en"/>
        </w:rPr>
        <w:t>provider</w:t>
      </w:r>
      <w:r w:rsidR="00883A15" w:rsidRPr="00E3079E">
        <w:rPr>
          <w:szCs w:val="24"/>
          <w:lang w:val="en"/>
        </w:rPr>
        <w:t xml:space="preserve"> </w:t>
      </w:r>
      <w:r w:rsidRPr="00E3079E">
        <w:rPr>
          <w:szCs w:val="24"/>
          <w:lang w:val="en"/>
        </w:rPr>
        <w:t xml:space="preserve">submits the AFT the scheme administrator should have seen and approved its content before it is submitted to HMRC. The </w:t>
      </w:r>
      <w:r w:rsidR="00883A15">
        <w:rPr>
          <w:szCs w:val="24"/>
          <w:lang w:val="en"/>
        </w:rPr>
        <w:t>provider</w:t>
      </w:r>
      <w:r w:rsidR="00883A15" w:rsidRPr="00E3079E">
        <w:rPr>
          <w:szCs w:val="24"/>
          <w:lang w:val="en"/>
        </w:rPr>
        <w:t xml:space="preserve"> </w:t>
      </w:r>
      <w:r w:rsidRPr="00E3079E">
        <w:rPr>
          <w:szCs w:val="24"/>
          <w:lang w:val="en"/>
        </w:rPr>
        <w:t>must make a declaration that the scheme administrator has approved the contents before they can submit it to HMRC</w:t>
      </w:r>
    </w:p>
    <w:p w14:paraId="28D33A0F" w14:textId="7983F859" w:rsidR="000C738D" w:rsidRPr="003C3B62" w:rsidRDefault="000C738D" w:rsidP="000C738D">
      <w:pPr>
        <w:rPr>
          <w:szCs w:val="24"/>
          <w:lang w:val="en"/>
        </w:rPr>
      </w:pPr>
      <w:r w:rsidRPr="003C3B62">
        <w:rPr>
          <w:szCs w:val="24"/>
          <w:lang w:val="en"/>
        </w:rPr>
        <w:t xml:space="preserve">Full details on AFT can be found in </w:t>
      </w:r>
      <w:hyperlink r:id="rId43" w:history="1">
        <w:r w:rsidRPr="005115E2">
          <w:rPr>
            <w:rStyle w:val="Hyperlink"/>
            <w:szCs w:val="24"/>
            <w:lang w:val="en"/>
          </w:rPr>
          <w:t xml:space="preserve">HMRC Pensions Tax Manual </w:t>
        </w:r>
        <w:r w:rsidR="005115E2" w:rsidRPr="005115E2">
          <w:rPr>
            <w:rStyle w:val="Hyperlink"/>
            <w:szCs w:val="24"/>
            <w:lang w:val="en"/>
          </w:rPr>
          <w:t>162100</w:t>
        </w:r>
      </w:hyperlink>
      <w:r w:rsidR="005115E2">
        <w:rPr>
          <w:szCs w:val="24"/>
          <w:lang w:val="en"/>
        </w:rPr>
        <w:t>.</w:t>
      </w:r>
    </w:p>
    <w:p w14:paraId="35E6F8CA" w14:textId="7803CF2F" w:rsidR="000C738D" w:rsidRDefault="000C738D">
      <w:pPr>
        <w:pStyle w:val="Heading2"/>
      </w:pPr>
      <w:bookmarkStart w:id="129" w:name="_Toc43993444"/>
      <w:bookmarkStart w:id="130" w:name="_Toc44057075"/>
      <w:bookmarkStart w:id="131" w:name="_Toc44059085"/>
      <w:bookmarkStart w:id="132" w:name="_Toc44062635"/>
      <w:bookmarkStart w:id="133" w:name="_Toc44062816"/>
      <w:bookmarkStart w:id="134" w:name="_Toc43993445"/>
      <w:bookmarkStart w:id="135" w:name="_Toc44057076"/>
      <w:bookmarkStart w:id="136" w:name="_Toc44059086"/>
      <w:bookmarkStart w:id="137" w:name="_Toc44062636"/>
      <w:bookmarkStart w:id="138" w:name="_Toc44062817"/>
      <w:bookmarkStart w:id="139" w:name="_Toc75332400"/>
      <w:bookmarkEnd w:id="129"/>
      <w:bookmarkEnd w:id="130"/>
      <w:bookmarkEnd w:id="131"/>
      <w:bookmarkEnd w:id="132"/>
      <w:bookmarkEnd w:id="133"/>
      <w:bookmarkEnd w:id="134"/>
      <w:bookmarkEnd w:id="135"/>
      <w:bookmarkEnd w:id="136"/>
      <w:bookmarkEnd w:id="137"/>
      <w:bookmarkEnd w:id="138"/>
      <w:r>
        <w:t>General Data Protection Regulation</w:t>
      </w:r>
      <w:r w:rsidR="00BA5384">
        <w:t xml:space="preserve"> (GDPR)</w:t>
      </w:r>
      <w:bookmarkEnd w:id="139"/>
      <w:r>
        <w:t xml:space="preserve"> </w:t>
      </w:r>
    </w:p>
    <w:p w14:paraId="3B9747BF" w14:textId="42BE2D94" w:rsidR="000C738D" w:rsidRPr="00E3079E" w:rsidRDefault="000C738D" w:rsidP="004670F2">
      <w:r w:rsidRPr="00E3079E">
        <w:rPr>
          <w:b/>
        </w:rPr>
        <w:t xml:space="preserve">Each FRA is a Data Controller for pension scheme data </w:t>
      </w:r>
      <w:r w:rsidR="00BA5384" w:rsidRPr="00E3079E">
        <w:rPr>
          <w:b/>
        </w:rPr>
        <w:t xml:space="preserve">under GDPR </w:t>
      </w:r>
      <w:r w:rsidRPr="00E3079E">
        <w:rPr>
          <w:b/>
        </w:rPr>
        <w:t>and must determine how, and for what purposes, data is to be processed.</w:t>
      </w:r>
    </w:p>
    <w:p w14:paraId="254365F3" w14:textId="659606AE" w:rsidR="0073535B" w:rsidRPr="00E3079E" w:rsidRDefault="00BA5384" w:rsidP="004670F2">
      <w:r w:rsidRPr="00E3079E">
        <w:t xml:space="preserve">Resources to assist authorities in complying with their duties under the regulations are available </w:t>
      </w:r>
      <w:r w:rsidR="00341704">
        <w:t xml:space="preserve">have been made available on </w:t>
      </w:r>
      <w:r w:rsidR="006013A8">
        <w:t xml:space="preserve">the following </w:t>
      </w:r>
      <w:hyperlink r:id="rId44" w:history="1">
        <w:r w:rsidR="006013A8" w:rsidRPr="006013A8">
          <w:rPr>
            <w:rStyle w:val="Hyperlink"/>
          </w:rPr>
          <w:t>dedicated GDPR webpage</w:t>
        </w:r>
      </w:hyperlink>
      <w:r w:rsidR="006013A8">
        <w:t xml:space="preserve">. </w:t>
      </w:r>
    </w:p>
    <w:p w14:paraId="7D21AEEF" w14:textId="31AB4835" w:rsidR="0073535B" w:rsidRPr="00E3079E" w:rsidRDefault="0073535B" w:rsidP="004670F2">
      <w:r w:rsidRPr="00E3079E">
        <w:t>[</w:t>
      </w:r>
      <w:r w:rsidRPr="00E3079E">
        <w:rPr>
          <w:highlight w:val="yellow"/>
        </w:rPr>
        <w:t xml:space="preserve">INCLUDE STANDARD DATA PROTECTION PARAGRAPH </w:t>
      </w:r>
      <w:proofErr w:type="spellStart"/>
      <w:r w:rsidRPr="00E3079E">
        <w:rPr>
          <w:highlight w:val="yellow"/>
        </w:rPr>
        <w:t>e.g</w:t>
      </w:r>
      <w:proofErr w:type="spellEnd"/>
      <w:r w:rsidRPr="00E3079E">
        <w:rPr>
          <w:highlight w:val="yellow"/>
        </w:rPr>
        <w:t>:]</w:t>
      </w:r>
    </w:p>
    <w:p w14:paraId="69B1AF3A" w14:textId="5013FF3B" w:rsidR="00BA5384" w:rsidRPr="007F7A10" w:rsidRDefault="0073535B" w:rsidP="004670F2">
      <w:pPr>
        <w:rPr>
          <w:sz w:val="22"/>
        </w:rPr>
      </w:pPr>
      <w:r w:rsidRPr="00E3079E">
        <w:t>[</w:t>
      </w:r>
      <w:r w:rsidRPr="00E3079E">
        <w:rPr>
          <w:highlight w:val="yellow"/>
        </w:rPr>
        <w:t>INSERT NAME of FRA</w:t>
      </w:r>
      <w:r w:rsidRPr="00E3079E">
        <w:t xml:space="preserve">] is a Data Controller as part of the Data Protection Act 2018 which incorporates the General Data Protection Regulation (GDPR). This means we store, </w:t>
      </w:r>
      <w:proofErr w:type="gramStart"/>
      <w:r w:rsidRPr="00E3079E">
        <w:t>hold</w:t>
      </w:r>
      <w:proofErr w:type="gramEnd"/>
      <w:r w:rsidRPr="00E3079E">
        <w:t xml:space="preserve"> and manage personal data in line with statutory requirements to enable us to provide pension administration services. To enable us to carry out our statutory duty, we are required to share information with certain bodies, but will only do so in limited circumstances. More information about how we hold data and who we share it can be found in the Authority’s Privacy Notice on [</w:t>
      </w:r>
      <w:r w:rsidRPr="00E3079E">
        <w:rPr>
          <w:highlight w:val="yellow"/>
        </w:rPr>
        <w:t>INSERT WEB ADDRESS</w:t>
      </w:r>
      <w:r w:rsidRPr="00E3079E">
        <w:t>].</w:t>
      </w:r>
    </w:p>
    <w:p w14:paraId="2989C87B" w14:textId="59CA3B2A" w:rsidR="00FC5DC4" w:rsidRDefault="00FC5DC4">
      <w:pPr>
        <w:pStyle w:val="Heading2"/>
      </w:pPr>
      <w:bookmarkStart w:id="140" w:name="_Toc75332401"/>
      <w:r>
        <w:t>Disclosure</w:t>
      </w:r>
      <w:bookmarkEnd w:id="140"/>
      <w:r>
        <w:t xml:space="preserve"> </w:t>
      </w:r>
    </w:p>
    <w:p w14:paraId="07FC2FC0" w14:textId="03E6E953" w:rsidR="00F94773" w:rsidRDefault="004A7DB0" w:rsidP="003E02D6">
      <w:r>
        <w:t>Under t</w:t>
      </w:r>
      <w:r w:rsidRPr="004A7DB0">
        <w:t>he</w:t>
      </w:r>
      <w:r w:rsidR="00F94773">
        <w:t xml:space="preserve"> </w:t>
      </w:r>
      <w:r w:rsidRPr="004A7DB0">
        <w:t>Occupational and Personal Pension Schemes (Disclosure of Information) Regulations</w:t>
      </w:r>
      <w:r w:rsidR="00F94773">
        <w:t xml:space="preserve">, </w:t>
      </w:r>
      <w:r w:rsidR="00F94773" w:rsidRPr="00E3079E">
        <w:rPr>
          <w:b/>
        </w:rPr>
        <w:t>the scheme manager must provide certain information to scheme members within certain timescales.</w:t>
      </w:r>
    </w:p>
    <w:p w14:paraId="27A7C989" w14:textId="1A9B5411" w:rsidR="00F94773" w:rsidRDefault="00DB18E4" w:rsidP="003E02D6">
      <w:r>
        <w:t xml:space="preserve">Please refer to the </w:t>
      </w:r>
      <w:hyperlink r:id="rId45" w:history="1">
        <w:r w:rsidRPr="00DB18E4">
          <w:rPr>
            <w:rStyle w:val="Hyperlink"/>
          </w:rPr>
          <w:t>guide to disclosure of information requirements</w:t>
        </w:r>
      </w:hyperlink>
      <w:r>
        <w:t xml:space="preserve"> for more information. </w:t>
      </w:r>
    </w:p>
    <w:p w14:paraId="41885DAA" w14:textId="77777777" w:rsidR="00E42F80" w:rsidRDefault="00E42F80">
      <w:pPr>
        <w:pStyle w:val="Heading2"/>
      </w:pPr>
      <w:bookmarkStart w:id="141" w:name="_Toc43993448"/>
      <w:bookmarkStart w:id="142" w:name="_Toc44059089"/>
      <w:bookmarkStart w:id="143" w:name="_Toc75332402"/>
      <w:bookmarkEnd w:id="141"/>
      <w:bookmarkEnd w:id="142"/>
      <w:r>
        <w:t>Overriding legislation</w:t>
      </w:r>
      <w:bookmarkEnd w:id="143"/>
    </w:p>
    <w:p w14:paraId="7AF52B2E" w14:textId="021D1CC1" w:rsidR="00F91429" w:rsidRDefault="00E42F80" w:rsidP="00E42F80">
      <w:r>
        <w:t xml:space="preserve">In addition to the scheme regulations, </w:t>
      </w:r>
      <w:r w:rsidRPr="00405329">
        <w:rPr>
          <w:b/>
          <w:bCs/>
        </w:rPr>
        <w:t xml:space="preserve">the scheme manager </w:t>
      </w:r>
      <w:r w:rsidR="000346C9">
        <w:rPr>
          <w:b/>
          <w:bCs/>
        </w:rPr>
        <w:t xml:space="preserve">will ensure </w:t>
      </w:r>
      <w:r w:rsidRPr="00405329">
        <w:rPr>
          <w:b/>
          <w:bCs/>
        </w:rPr>
        <w:t>compl</w:t>
      </w:r>
      <w:r w:rsidR="000346C9">
        <w:rPr>
          <w:b/>
          <w:bCs/>
        </w:rPr>
        <w:t>iance</w:t>
      </w:r>
      <w:r w:rsidRPr="00405329">
        <w:rPr>
          <w:b/>
          <w:bCs/>
        </w:rPr>
        <w:t xml:space="preserve"> with any overriding legislation</w:t>
      </w:r>
      <w:r w:rsidR="002536E3">
        <w:rPr>
          <w:b/>
          <w:bCs/>
        </w:rPr>
        <w:t xml:space="preserve"> in force</w:t>
      </w:r>
      <w:r>
        <w:t>.</w:t>
      </w:r>
    </w:p>
    <w:p w14:paraId="0C72AFE4" w14:textId="33AED61A" w:rsidR="00F91429" w:rsidRDefault="00F91429" w:rsidP="00F91429">
      <w:pPr>
        <w:pStyle w:val="Heading2"/>
      </w:pPr>
      <w:bookmarkStart w:id="144" w:name="_Toc75332403"/>
      <w:r>
        <w:t>Audit</w:t>
      </w:r>
      <w:bookmarkEnd w:id="144"/>
      <w:r>
        <w:t xml:space="preserve"> </w:t>
      </w:r>
    </w:p>
    <w:p w14:paraId="5EC20F93" w14:textId="09EA21CD" w:rsidR="005B491A" w:rsidRDefault="00CC5D37" w:rsidP="00352A89">
      <w:r>
        <w:t xml:space="preserve">The FRA </w:t>
      </w:r>
      <w:r w:rsidR="0068520E">
        <w:t>may commission internal and external audits</w:t>
      </w:r>
      <w:r w:rsidR="007978EC">
        <w:t xml:space="preserve"> </w:t>
      </w:r>
      <w:r w:rsidR="008D2C44">
        <w:t>in maintaining the FPS pension fund account</w:t>
      </w:r>
      <w:r w:rsidR="002536E3">
        <w:t xml:space="preserve"> and other pension related matters</w:t>
      </w:r>
      <w:r w:rsidR="008D2C44">
        <w:t xml:space="preserve">. </w:t>
      </w:r>
    </w:p>
    <w:p w14:paraId="71F6C23F" w14:textId="6DB4DC80" w:rsidR="00352A89" w:rsidRPr="00405329" w:rsidRDefault="00352A89" w:rsidP="00352A89">
      <w:pPr>
        <w:rPr>
          <w:b/>
          <w:bCs/>
          <w:sz w:val="23"/>
          <w:szCs w:val="23"/>
        </w:rPr>
      </w:pPr>
      <w:r w:rsidRPr="00405329">
        <w:rPr>
          <w:b/>
          <w:bCs/>
          <w:sz w:val="23"/>
          <w:szCs w:val="23"/>
        </w:rPr>
        <w:t>FRAs are expected to fully comply with any requests for information from both internal and approved external auditors</w:t>
      </w:r>
      <w:r w:rsidR="00E0426B">
        <w:rPr>
          <w:b/>
          <w:bCs/>
          <w:sz w:val="23"/>
          <w:szCs w:val="23"/>
        </w:rPr>
        <w:t xml:space="preserve">, including </w:t>
      </w:r>
      <w:r w:rsidR="00E0426B" w:rsidRPr="00E0426B">
        <w:rPr>
          <w:b/>
          <w:bCs/>
          <w:sz w:val="23"/>
          <w:szCs w:val="23"/>
        </w:rPr>
        <w:t>fr</w:t>
      </w:r>
      <w:r w:rsidR="00E0426B">
        <w:rPr>
          <w:b/>
          <w:bCs/>
          <w:sz w:val="23"/>
          <w:szCs w:val="23"/>
        </w:rPr>
        <w:t xml:space="preserve">om the administrator’s </w:t>
      </w:r>
      <w:r w:rsidR="00E0426B" w:rsidRPr="00E0426B">
        <w:rPr>
          <w:b/>
          <w:bCs/>
          <w:sz w:val="23"/>
          <w:szCs w:val="23"/>
        </w:rPr>
        <w:t>auditors.</w:t>
      </w:r>
    </w:p>
    <w:p w14:paraId="6E314845" w14:textId="4736D99B" w:rsidR="0016331B" w:rsidRDefault="0016331B">
      <w:pPr>
        <w:rPr>
          <w:sz w:val="40"/>
        </w:rPr>
      </w:pPr>
      <w:r>
        <w:br w:type="page"/>
      </w:r>
    </w:p>
    <w:p w14:paraId="632E030B" w14:textId="666B7578" w:rsidR="004670F2" w:rsidRDefault="004670F2" w:rsidP="00316485">
      <w:pPr>
        <w:pStyle w:val="Heading1"/>
      </w:pPr>
      <w:bookmarkStart w:id="145" w:name="_Toc44062639"/>
      <w:bookmarkStart w:id="146" w:name="_Toc44062820"/>
      <w:bookmarkStart w:id="147" w:name="_Toc43993449"/>
      <w:bookmarkStart w:id="148" w:name="_Toc44059090"/>
      <w:bookmarkStart w:id="149" w:name="_Toc44062640"/>
      <w:bookmarkStart w:id="150" w:name="_Toc44062821"/>
      <w:bookmarkStart w:id="151" w:name="_Toc75332404"/>
      <w:bookmarkEnd w:id="145"/>
      <w:bookmarkEnd w:id="146"/>
      <w:bookmarkEnd w:id="147"/>
      <w:bookmarkEnd w:id="148"/>
      <w:bookmarkEnd w:id="149"/>
      <w:bookmarkEnd w:id="150"/>
      <w:r>
        <w:lastRenderedPageBreak/>
        <w:t xml:space="preserve">Administrator </w:t>
      </w:r>
      <w:r w:rsidR="005619BB">
        <w:t xml:space="preserve">duties and </w:t>
      </w:r>
      <w:r>
        <w:t>responsibilities</w:t>
      </w:r>
      <w:bookmarkEnd w:id="151"/>
    </w:p>
    <w:p w14:paraId="2538CEF7" w14:textId="77777777" w:rsidR="00F6655A" w:rsidRDefault="00F6655A" w:rsidP="00F6655A">
      <w:pPr>
        <w:pStyle w:val="Heading2"/>
      </w:pPr>
      <w:bookmarkStart w:id="152" w:name="_Performance_reporting"/>
      <w:bookmarkStart w:id="153" w:name="_Toc44062647"/>
      <w:bookmarkStart w:id="154" w:name="_Toc44062828"/>
      <w:bookmarkStart w:id="155" w:name="_Toc75332407"/>
      <w:bookmarkEnd w:id="152"/>
      <w:bookmarkEnd w:id="153"/>
      <w:bookmarkEnd w:id="154"/>
      <w:r>
        <w:t>The Pensions Regulator (TPR)</w:t>
      </w:r>
      <w:bookmarkEnd w:id="155"/>
    </w:p>
    <w:p w14:paraId="5ABAE97F" w14:textId="1F974681" w:rsidR="00F6655A" w:rsidRPr="00405329" w:rsidRDefault="00F6655A" w:rsidP="00F6655A">
      <w:pPr>
        <w:rPr>
          <w:bCs/>
          <w:szCs w:val="24"/>
        </w:rPr>
      </w:pPr>
      <w:r w:rsidRPr="00E3079E">
        <w:rPr>
          <w:b/>
          <w:szCs w:val="24"/>
        </w:rPr>
        <w:t xml:space="preserve">The </w:t>
      </w:r>
      <w:r>
        <w:rPr>
          <w:b/>
          <w:szCs w:val="24"/>
        </w:rPr>
        <w:t>administrator should</w:t>
      </w:r>
      <w:r w:rsidRPr="00E3079E">
        <w:rPr>
          <w:b/>
          <w:szCs w:val="24"/>
        </w:rPr>
        <w:t xml:space="preserve"> ensure that they are familiar with TPR’s </w:t>
      </w:r>
      <w:hyperlink r:id="rId46" w:history="1">
        <w:r w:rsidRPr="00E3079E">
          <w:rPr>
            <w:rStyle w:val="Hyperlink"/>
            <w:b/>
            <w:szCs w:val="24"/>
          </w:rPr>
          <w:t>Code of Practice 14: Governance and administration of public service pension schemes</w:t>
        </w:r>
      </w:hyperlink>
      <w:r w:rsidR="00246694">
        <w:rPr>
          <w:rStyle w:val="FootnoteReference"/>
          <w:b/>
          <w:color w:val="0000FF" w:themeColor="hyperlink"/>
          <w:szCs w:val="24"/>
          <w:u w:val="single"/>
        </w:rPr>
        <w:footnoteReference w:id="6"/>
      </w:r>
      <w:r w:rsidR="00246694">
        <w:rPr>
          <w:b/>
          <w:szCs w:val="24"/>
        </w:rPr>
        <w:t>.</w:t>
      </w:r>
    </w:p>
    <w:p w14:paraId="3ACA3CB4" w14:textId="0442FEC9" w:rsidR="005B086F" w:rsidRPr="00E3079E" w:rsidRDefault="005B086F" w:rsidP="005B086F">
      <w:pPr>
        <w:pStyle w:val="Heading2"/>
      </w:pPr>
      <w:bookmarkStart w:id="156" w:name="_Toc75332408"/>
      <w:r>
        <w:t>Data standards</w:t>
      </w:r>
      <w:bookmarkEnd w:id="156"/>
    </w:p>
    <w:p w14:paraId="7B878B98" w14:textId="77777777" w:rsidR="005B086F" w:rsidRDefault="005B086F" w:rsidP="005B086F">
      <w:r w:rsidRPr="00316485">
        <w:rPr>
          <w:b/>
          <w:bCs/>
        </w:rPr>
        <w:t xml:space="preserve">The administrator will ensure that suitable and secure methods of data transfer are available for the FRA to use. </w:t>
      </w:r>
    </w:p>
    <w:p w14:paraId="1A034DFE" w14:textId="77777777" w:rsidR="005B086F" w:rsidRPr="00316485" w:rsidRDefault="005B086F" w:rsidP="005B086F">
      <w:pPr>
        <w:rPr>
          <w:sz w:val="23"/>
          <w:szCs w:val="23"/>
        </w:rPr>
      </w:pPr>
      <w:r>
        <w:t xml:space="preserve">Personal data </w:t>
      </w:r>
      <w:r w:rsidRPr="00E3079E">
        <w:rPr>
          <w:sz w:val="23"/>
          <w:szCs w:val="23"/>
        </w:rPr>
        <w:t xml:space="preserve">will only be transferred from one party to the other via an acceptable method specified by the </w:t>
      </w:r>
      <w:r>
        <w:rPr>
          <w:sz w:val="23"/>
          <w:szCs w:val="23"/>
        </w:rPr>
        <w:t>administrator</w:t>
      </w:r>
      <w:r w:rsidRPr="00E3079E">
        <w:rPr>
          <w:sz w:val="23"/>
          <w:szCs w:val="23"/>
        </w:rPr>
        <w:t xml:space="preserve"> which may include any of the following:</w:t>
      </w:r>
    </w:p>
    <w:p w14:paraId="0BD3C1D9" w14:textId="77777777" w:rsidR="005B086F" w:rsidRDefault="005B086F" w:rsidP="005B086F">
      <w:pPr>
        <w:pStyle w:val="Bulletlist"/>
        <w:numPr>
          <w:ilvl w:val="0"/>
          <w:numId w:val="30"/>
        </w:numPr>
      </w:pPr>
      <w:r>
        <w:t xml:space="preserve">Data transfer service (Internet based application) </w:t>
      </w:r>
    </w:p>
    <w:p w14:paraId="55C05AA0" w14:textId="77777777" w:rsidR="005B086F" w:rsidRDefault="005B086F" w:rsidP="005B086F">
      <w:pPr>
        <w:pStyle w:val="Bulletlist"/>
        <w:numPr>
          <w:ilvl w:val="0"/>
          <w:numId w:val="30"/>
        </w:numPr>
      </w:pPr>
      <w:r>
        <w:t xml:space="preserve">Secure email </w:t>
      </w:r>
    </w:p>
    <w:p w14:paraId="4F61A030" w14:textId="77777777" w:rsidR="005B086F" w:rsidRDefault="005B086F" w:rsidP="005B086F">
      <w:pPr>
        <w:pStyle w:val="Bulletlist"/>
        <w:numPr>
          <w:ilvl w:val="0"/>
          <w:numId w:val="30"/>
        </w:numPr>
      </w:pPr>
      <w:r>
        <w:t xml:space="preserve">Paper forms signed by an authorised officer from the employer </w:t>
      </w:r>
    </w:p>
    <w:p w14:paraId="6F4B3923" w14:textId="77777777" w:rsidR="005B086F" w:rsidRDefault="005B086F" w:rsidP="005B086F">
      <w:pPr>
        <w:pStyle w:val="Bulletlist"/>
        <w:numPr>
          <w:ilvl w:val="0"/>
          <w:numId w:val="30"/>
        </w:numPr>
      </w:pPr>
      <w:r>
        <w:t xml:space="preserve">Password protected excel spreadsheet </w:t>
      </w:r>
    </w:p>
    <w:p w14:paraId="14A87878" w14:textId="53FE7110" w:rsidR="005B086F" w:rsidRDefault="005B086F" w:rsidP="00405329">
      <w:r>
        <w:t xml:space="preserve">Data validation and cleansing processes should be in place in accordance with TPR requirements. </w:t>
      </w:r>
    </w:p>
    <w:p w14:paraId="3693A443" w14:textId="77777777" w:rsidR="005B086F" w:rsidRDefault="005B086F" w:rsidP="005B086F">
      <w:pPr>
        <w:pStyle w:val="Heading2"/>
      </w:pPr>
      <w:bookmarkStart w:id="157" w:name="_Toc75332409"/>
      <w:r w:rsidRPr="005D0FDB">
        <w:t>Reporting breaches</w:t>
      </w:r>
      <w:bookmarkEnd w:id="157"/>
    </w:p>
    <w:p w14:paraId="59118178" w14:textId="77777777" w:rsidR="005B086F" w:rsidRPr="00405329" w:rsidRDefault="005B086F" w:rsidP="005B086F">
      <w:pPr>
        <w:rPr>
          <w:rStyle w:val="Strong"/>
        </w:rPr>
      </w:pPr>
      <w:r w:rsidRPr="00405329">
        <w:rPr>
          <w:rStyle w:val="Strong"/>
        </w:rPr>
        <w:t xml:space="preserve">Administrators also have a statutory obligation to record and report any identified breaches of the law. </w:t>
      </w:r>
    </w:p>
    <w:p w14:paraId="0FA0BE5A" w14:textId="07546829" w:rsidR="005B086F" w:rsidRDefault="005B086F" w:rsidP="005B086F">
      <w:pPr>
        <w:rPr>
          <w:bCs/>
        </w:rPr>
      </w:pPr>
      <w:r w:rsidRPr="00405329">
        <w:rPr>
          <w:bCs/>
        </w:rPr>
        <w:t xml:space="preserve">Refer to </w:t>
      </w:r>
      <w:hyperlink w:anchor="_Reporting_breaches" w:history="1">
        <w:r w:rsidRPr="00405329">
          <w:rPr>
            <w:rStyle w:val="Hyperlink"/>
            <w:bCs/>
          </w:rPr>
          <w:t>section 6.6</w:t>
        </w:r>
      </w:hyperlink>
      <w:r w:rsidRPr="00405329">
        <w:rPr>
          <w:bCs/>
        </w:rPr>
        <w:t xml:space="preserve"> for further details.</w:t>
      </w:r>
    </w:p>
    <w:p w14:paraId="6495EAC3" w14:textId="77777777" w:rsidR="006C2DD2" w:rsidRDefault="006C2DD2" w:rsidP="006C2DD2">
      <w:pPr>
        <w:pStyle w:val="Heading2"/>
      </w:pPr>
      <w:bookmarkStart w:id="158" w:name="_Toc75332410"/>
      <w:r>
        <w:t>HMRC reporting</w:t>
      </w:r>
      <w:bookmarkEnd w:id="158"/>
    </w:p>
    <w:p w14:paraId="665C30A0" w14:textId="77777777" w:rsidR="006C2DD2" w:rsidRPr="00476B3B" w:rsidRDefault="006C2DD2" w:rsidP="006C2DD2">
      <w:pPr>
        <w:rPr>
          <w:b/>
          <w:bCs/>
          <w:sz w:val="28"/>
        </w:rPr>
      </w:pPr>
      <w:r w:rsidRPr="00405329">
        <w:t>Although the scheme manager retains legal responsibility</w:t>
      </w:r>
      <w:r w:rsidRPr="00476B3B">
        <w:rPr>
          <w:b/>
          <w:bCs/>
        </w:rPr>
        <w:t xml:space="preserve">, HMRC reporting may be delegated to the administrator under the terms of the service level agreement. </w:t>
      </w:r>
    </w:p>
    <w:p w14:paraId="4C2C8FD0" w14:textId="2A6560C3" w:rsidR="006C2DD2" w:rsidRPr="00D52863" w:rsidRDefault="006C2DD2" w:rsidP="005B086F">
      <w:pPr>
        <w:rPr>
          <w:bCs/>
        </w:rPr>
      </w:pPr>
      <w:r>
        <w:rPr>
          <w:bCs/>
        </w:rPr>
        <w:t xml:space="preserve">See </w:t>
      </w:r>
      <w:hyperlink w:anchor="_HMRC_reporting" w:history="1">
        <w:r w:rsidRPr="006C2DD2">
          <w:rPr>
            <w:rStyle w:val="Hyperlink"/>
            <w:bCs/>
          </w:rPr>
          <w:t>section 6.8</w:t>
        </w:r>
      </w:hyperlink>
      <w:r>
        <w:rPr>
          <w:bCs/>
        </w:rPr>
        <w:t xml:space="preserve"> for more information.</w:t>
      </w:r>
    </w:p>
    <w:p w14:paraId="511B7E21" w14:textId="77777777" w:rsidR="005B086F" w:rsidRDefault="005B086F" w:rsidP="005B086F">
      <w:pPr>
        <w:pStyle w:val="Heading2"/>
      </w:pPr>
      <w:bookmarkStart w:id="159" w:name="_Toc75332411"/>
      <w:r>
        <w:t>GDPR</w:t>
      </w:r>
      <w:bookmarkEnd w:id="159"/>
    </w:p>
    <w:p w14:paraId="26C2A4F0" w14:textId="77777777" w:rsidR="005B086F" w:rsidRDefault="005B086F" w:rsidP="005B086F">
      <w:pPr>
        <w:widowControl w:val="0"/>
        <w:jc w:val="both"/>
        <w:rPr>
          <w:szCs w:val="24"/>
        </w:rPr>
      </w:pPr>
      <w:r>
        <w:rPr>
          <w:szCs w:val="24"/>
        </w:rPr>
        <w:t xml:space="preserve">The administrator holds personal data on behalf of the FRA, including all membership records and bank details of FPS pensioner members.  </w:t>
      </w:r>
    </w:p>
    <w:p w14:paraId="143E42B6" w14:textId="77777777" w:rsidR="005B086F" w:rsidRPr="00E3079E" w:rsidRDefault="005B086F" w:rsidP="005B086F">
      <w:r w:rsidRPr="00405329">
        <w:rPr>
          <w:b/>
        </w:rPr>
        <w:lastRenderedPageBreak/>
        <w:t>Each administrator is therefore a Data Processor for pension scheme data under GDPR and must determine how, and for what purposes, data is to be processed.</w:t>
      </w:r>
    </w:p>
    <w:p w14:paraId="099486DA" w14:textId="2C236AC9" w:rsidR="000F1618" w:rsidRDefault="008571D7">
      <w:pPr>
        <w:pStyle w:val="Heading2"/>
      </w:pPr>
      <w:bookmarkStart w:id="160" w:name="_Toc75332412"/>
      <w:r>
        <w:t>Overriding legislation</w:t>
      </w:r>
      <w:bookmarkEnd w:id="160"/>
    </w:p>
    <w:p w14:paraId="6B2697C7" w14:textId="022D9481" w:rsidR="00294247" w:rsidRDefault="004B6B5F" w:rsidP="00E3079E">
      <w:pPr>
        <w:rPr>
          <w:bCs/>
          <w:szCs w:val="24"/>
        </w:rPr>
      </w:pPr>
      <w:r>
        <w:t xml:space="preserve">In addition to the scheme regulations, </w:t>
      </w:r>
      <w:r w:rsidRPr="00405329">
        <w:rPr>
          <w:b/>
          <w:bCs/>
        </w:rPr>
        <w:t>t</w:t>
      </w:r>
      <w:r w:rsidR="00294247" w:rsidRPr="00405329">
        <w:rPr>
          <w:b/>
          <w:bCs/>
        </w:rPr>
        <w:t xml:space="preserve">he </w:t>
      </w:r>
      <w:r w:rsidR="00CB16F4" w:rsidRPr="00405329">
        <w:rPr>
          <w:b/>
          <w:bCs/>
        </w:rPr>
        <w:t>administrator</w:t>
      </w:r>
      <w:r w:rsidR="00294247" w:rsidRPr="00405329">
        <w:rPr>
          <w:b/>
          <w:bCs/>
        </w:rPr>
        <w:t xml:space="preserve"> will comply with </w:t>
      </w:r>
      <w:r w:rsidR="0073708B" w:rsidRPr="00405329">
        <w:rPr>
          <w:b/>
          <w:bCs/>
        </w:rPr>
        <w:t xml:space="preserve">any </w:t>
      </w:r>
      <w:r w:rsidR="00294247" w:rsidRPr="00405329">
        <w:rPr>
          <w:b/>
          <w:bCs/>
        </w:rPr>
        <w:t xml:space="preserve">overriding </w:t>
      </w:r>
      <w:r w:rsidR="00E42F80" w:rsidRPr="00405329">
        <w:rPr>
          <w:b/>
          <w:bCs/>
        </w:rPr>
        <w:t>legislation</w:t>
      </w:r>
      <w:r w:rsidR="002536E3">
        <w:rPr>
          <w:b/>
          <w:bCs/>
        </w:rPr>
        <w:t xml:space="preserve"> in force</w:t>
      </w:r>
      <w:r w:rsidR="001D7CFE" w:rsidRPr="00405329">
        <w:rPr>
          <w:b/>
          <w:bCs/>
        </w:rPr>
        <w:t>.</w:t>
      </w:r>
    </w:p>
    <w:p w14:paraId="66A2D119" w14:textId="0D83BE3C" w:rsidR="005562C5" w:rsidRPr="00294247" w:rsidRDefault="00685623">
      <w:pPr>
        <w:pStyle w:val="Heading2"/>
      </w:pPr>
      <w:bookmarkStart w:id="161" w:name="_Toc75332413"/>
      <w:r>
        <w:t>Audit</w:t>
      </w:r>
      <w:bookmarkEnd w:id="161"/>
    </w:p>
    <w:p w14:paraId="1DD682A4" w14:textId="29A6CF43" w:rsidR="00685623" w:rsidRDefault="00AE1808" w:rsidP="00316485">
      <w:r w:rsidRPr="00976A29">
        <w:t>[</w:t>
      </w:r>
      <w:r w:rsidR="00425BC7" w:rsidRPr="00E3079E">
        <w:rPr>
          <w:sz w:val="23"/>
          <w:szCs w:val="23"/>
          <w:highlight w:val="yellow"/>
        </w:rPr>
        <w:t xml:space="preserve">The </w:t>
      </w:r>
      <w:r w:rsidRPr="00E3079E">
        <w:rPr>
          <w:sz w:val="23"/>
          <w:szCs w:val="23"/>
          <w:highlight w:val="yellow"/>
        </w:rPr>
        <w:t>administrator</w:t>
      </w:r>
      <w:r w:rsidRPr="00E3079E">
        <w:rPr>
          <w:sz w:val="23"/>
          <w:szCs w:val="23"/>
        </w:rPr>
        <w:t>]</w:t>
      </w:r>
      <w:r w:rsidR="00425BC7" w:rsidRPr="00E3079E">
        <w:rPr>
          <w:sz w:val="23"/>
          <w:szCs w:val="23"/>
        </w:rPr>
        <w:t xml:space="preserve"> is subject to an annual audit of its processes and internal controls. </w:t>
      </w:r>
      <w:r w:rsidR="003849CA" w:rsidRPr="00316485">
        <w:rPr>
          <w:b/>
          <w:bCs/>
        </w:rPr>
        <w:t xml:space="preserve">It is proposed that </w:t>
      </w:r>
      <w:r w:rsidR="00976A29" w:rsidRPr="00316485">
        <w:rPr>
          <w:b/>
          <w:bCs/>
        </w:rPr>
        <w:t>[</w:t>
      </w:r>
      <w:r w:rsidR="00976A29" w:rsidRPr="00316485">
        <w:rPr>
          <w:b/>
          <w:bCs/>
          <w:highlight w:val="yellow"/>
        </w:rPr>
        <w:t>the administrator’s</w:t>
      </w:r>
      <w:r w:rsidR="00976A29" w:rsidRPr="00316485">
        <w:rPr>
          <w:b/>
          <w:bCs/>
        </w:rPr>
        <w:t>]</w:t>
      </w:r>
      <w:r w:rsidR="003849CA" w:rsidRPr="00316485">
        <w:rPr>
          <w:b/>
          <w:bCs/>
        </w:rPr>
        <w:t xml:space="preserve"> internal audit will provide assurance to the Local Pension Board by auditing </w:t>
      </w:r>
      <w:r w:rsidR="00976A29" w:rsidRPr="00316485">
        <w:rPr>
          <w:b/>
          <w:bCs/>
        </w:rPr>
        <w:t xml:space="preserve">the </w:t>
      </w:r>
      <w:r w:rsidR="003849CA" w:rsidRPr="00316485">
        <w:rPr>
          <w:b/>
          <w:bCs/>
        </w:rPr>
        <w:t>pension administration</w:t>
      </w:r>
      <w:r w:rsidR="00976A29" w:rsidRPr="00316485">
        <w:rPr>
          <w:b/>
          <w:bCs/>
        </w:rPr>
        <w:t xml:space="preserve"> service provided to</w:t>
      </w:r>
      <w:r w:rsidR="003849CA" w:rsidRPr="00316485">
        <w:rPr>
          <w:b/>
          <w:bCs/>
        </w:rPr>
        <w:t xml:space="preserve"> </w:t>
      </w:r>
      <w:r w:rsidR="00976A29" w:rsidRPr="00316485">
        <w:rPr>
          <w:b/>
          <w:bCs/>
        </w:rPr>
        <w:t>the FRA</w:t>
      </w:r>
      <w:r w:rsidR="00671AA8" w:rsidRPr="00671AA8">
        <w:rPr>
          <w:rFonts w:cs="Arial"/>
        </w:rPr>
        <w:t xml:space="preserve"> </w:t>
      </w:r>
      <w:r w:rsidR="00671AA8">
        <w:rPr>
          <w:rFonts w:cs="Arial"/>
        </w:rPr>
        <w:t>and that a copy of the audit should be provided to the FRA</w:t>
      </w:r>
      <w:r w:rsidR="00976A29" w:rsidRPr="00976A29">
        <w:t>.</w:t>
      </w:r>
      <w:r w:rsidR="00090A65">
        <w:t xml:space="preserve"> </w:t>
      </w:r>
    </w:p>
    <w:p w14:paraId="64B6ADE2" w14:textId="79DAE193" w:rsidR="0086143C" w:rsidRDefault="0086143C" w:rsidP="0086143C">
      <w:pPr>
        <w:rPr>
          <w:rFonts w:cs="Arial"/>
        </w:rPr>
      </w:pPr>
      <w:r>
        <w:rPr>
          <w:sz w:val="23"/>
          <w:szCs w:val="23"/>
        </w:rPr>
        <w:t xml:space="preserve">Any subsequent recommendations will be considered and where appropriate implemented </w:t>
      </w:r>
      <w:r w:rsidRPr="00E54B22">
        <w:rPr>
          <w:rFonts w:cs="Arial"/>
        </w:rPr>
        <w:t>following</w:t>
      </w:r>
      <w:r>
        <w:rPr>
          <w:rFonts w:cs="Arial"/>
        </w:rPr>
        <w:t xml:space="preserve"> any necessary</w:t>
      </w:r>
      <w:r w:rsidRPr="00E54B22">
        <w:rPr>
          <w:rFonts w:cs="Arial"/>
        </w:rPr>
        <w:t xml:space="preserve"> discussions with the</w:t>
      </w:r>
      <w:r>
        <w:rPr>
          <w:rFonts w:cs="Arial"/>
        </w:rPr>
        <w:t xml:space="preserve"> FRA.</w:t>
      </w:r>
    </w:p>
    <w:p w14:paraId="484465C5" w14:textId="77777777" w:rsidR="0086143C" w:rsidRDefault="0086143C" w:rsidP="0086143C">
      <w:pPr>
        <w:rPr>
          <w:rFonts w:cs="Arial"/>
        </w:rPr>
      </w:pPr>
      <w:r>
        <w:rPr>
          <w:rFonts w:cs="Arial"/>
        </w:rPr>
        <w:t>FRAs and administrators should consult with external auditors to seek acceptance of these proposals.</w:t>
      </w:r>
    </w:p>
    <w:p w14:paraId="18C2934A" w14:textId="7F6A123B" w:rsidR="0086143C" w:rsidRPr="00E935C6" w:rsidRDefault="0086143C" w:rsidP="0086143C">
      <w:r>
        <w:t>The FRA may</w:t>
      </w:r>
      <w:r w:rsidR="00E935C6">
        <w:t xml:space="preserve"> </w:t>
      </w:r>
      <w:r>
        <w:t>commission internal and external audits</w:t>
      </w:r>
      <w:r w:rsidR="00E935C6">
        <w:t xml:space="preserve"> and </w:t>
      </w:r>
      <w:r w:rsidR="00E935C6">
        <w:rPr>
          <w:szCs w:val="24"/>
        </w:rPr>
        <w:t>t</w:t>
      </w:r>
      <w:r w:rsidRPr="00405329">
        <w:rPr>
          <w:szCs w:val="24"/>
        </w:rPr>
        <w:t>he FRA’s internal and/or external auditors may require access to the data held by the administrator and explanations of the administrator’s internal controls upon which the FRA/</w:t>
      </w:r>
      <w:r w:rsidR="00C96983" w:rsidRPr="00405329">
        <w:rPr>
          <w:szCs w:val="24"/>
        </w:rPr>
        <w:t xml:space="preserve"> </w:t>
      </w:r>
      <w:r w:rsidR="005B358B" w:rsidRPr="00405329">
        <w:rPr>
          <w:szCs w:val="24"/>
        </w:rPr>
        <w:t>s</w:t>
      </w:r>
      <w:r w:rsidRPr="00405329">
        <w:rPr>
          <w:szCs w:val="24"/>
        </w:rPr>
        <w:t xml:space="preserve">cheme </w:t>
      </w:r>
      <w:r w:rsidR="005B358B" w:rsidRPr="00405329">
        <w:rPr>
          <w:szCs w:val="24"/>
        </w:rPr>
        <w:t>m</w:t>
      </w:r>
      <w:r w:rsidRPr="00405329">
        <w:rPr>
          <w:szCs w:val="24"/>
        </w:rPr>
        <w:t>anager relies</w:t>
      </w:r>
      <w:r w:rsidR="005B358B" w:rsidRPr="00405329">
        <w:rPr>
          <w:szCs w:val="24"/>
        </w:rPr>
        <w:t>. T</w:t>
      </w:r>
      <w:r w:rsidRPr="00405329">
        <w:rPr>
          <w:szCs w:val="24"/>
        </w:rPr>
        <w:t>herefore</w:t>
      </w:r>
      <w:r w:rsidR="005B358B">
        <w:rPr>
          <w:szCs w:val="24"/>
        </w:rPr>
        <w:t>,</w:t>
      </w:r>
      <w:r w:rsidRPr="00405329">
        <w:rPr>
          <w:szCs w:val="24"/>
        </w:rPr>
        <w:t xml:space="preserve"> </w:t>
      </w:r>
      <w:r w:rsidRPr="00405329">
        <w:rPr>
          <w:b/>
          <w:bCs/>
          <w:szCs w:val="24"/>
        </w:rPr>
        <w:t xml:space="preserve">the administrator </w:t>
      </w:r>
      <w:r w:rsidR="005B358B" w:rsidRPr="00405329">
        <w:rPr>
          <w:b/>
          <w:bCs/>
          <w:szCs w:val="24"/>
        </w:rPr>
        <w:t xml:space="preserve">also </w:t>
      </w:r>
      <w:r w:rsidRPr="00405329">
        <w:rPr>
          <w:b/>
          <w:bCs/>
          <w:szCs w:val="24"/>
        </w:rPr>
        <w:t>has an obligation to comply with any requests from the FRA/</w:t>
      </w:r>
      <w:r w:rsidR="005B358B" w:rsidRPr="00405329">
        <w:rPr>
          <w:b/>
          <w:bCs/>
          <w:szCs w:val="24"/>
        </w:rPr>
        <w:t xml:space="preserve"> s</w:t>
      </w:r>
      <w:r w:rsidRPr="00405329">
        <w:rPr>
          <w:b/>
          <w:bCs/>
          <w:szCs w:val="24"/>
        </w:rPr>
        <w:t xml:space="preserve">cheme </w:t>
      </w:r>
      <w:r w:rsidR="005B358B" w:rsidRPr="00405329">
        <w:rPr>
          <w:b/>
          <w:bCs/>
          <w:szCs w:val="24"/>
        </w:rPr>
        <w:t>m</w:t>
      </w:r>
      <w:r w:rsidRPr="00405329">
        <w:rPr>
          <w:b/>
          <w:bCs/>
          <w:szCs w:val="24"/>
        </w:rPr>
        <w:t>anager’s auditors</w:t>
      </w:r>
      <w:r w:rsidRPr="00405329">
        <w:rPr>
          <w:szCs w:val="24"/>
        </w:rPr>
        <w:t>.</w:t>
      </w:r>
    </w:p>
    <w:p w14:paraId="08A19A92" w14:textId="1304B848" w:rsidR="00685623" w:rsidRPr="00E3079E" w:rsidRDefault="00685623">
      <w:pPr>
        <w:pStyle w:val="Heading2"/>
      </w:pPr>
      <w:bookmarkStart w:id="162" w:name="_Toc75332414"/>
      <w:r>
        <w:t>Benchmarking</w:t>
      </w:r>
      <w:bookmarkEnd w:id="162"/>
    </w:p>
    <w:p w14:paraId="5744E0EE" w14:textId="082D60A6" w:rsidR="00841D62" w:rsidRDefault="00B35F4C" w:rsidP="00841D62">
      <w:r w:rsidRPr="00405329">
        <w:rPr>
          <w:b/>
          <w:bCs/>
        </w:rPr>
        <w:t>[</w:t>
      </w:r>
      <w:r w:rsidR="00DC3B6D" w:rsidRPr="00405329">
        <w:rPr>
          <w:b/>
          <w:bCs/>
          <w:highlight w:val="yellow"/>
        </w:rPr>
        <w:t>The administrator</w:t>
      </w:r>
      <w:r w:rsidRPr="00405329">
        <w:rPr>
          <w:b/>
          <w:bCs/>
        </w:rPr>
        <w:t>]</w:t>
      </w:r>
      <w:r w:rsidR="00DC3B6D" w:rsidRPr="00405329">
        <w:rPr>
          <w:b/>
          <w:bCs/>
        </w:rPr>
        <w:t xml:space="preserve"> will periodically monitor its costs and service performance </w:t>
      </w:r>
      <w:r w:rsidR="00DC3B6D">
        <w:t>against</w:t>
      </w:r>
      <w:r w:rsidR="004E2D2B">
        <w:t xml:space="preserve"> the initial Aon report and any other benchmarking tool which may become available, to ensure that FRAs continue to receive value for money.</w:t>
      </w:r>
    </w:p>
    <w:p w14:paraId="4FE18457" w14:textId="73B2A8CD" w:rsidR="001E1836" w:rsidRDefault="001E1836" w:rsidP="00841D62">
      <w:r>
        <w:t>Results should be made available to the FRA.</w:t>
      </w:r>
    </w:p>
    <w:p w14:paraId="7D8FCA9F" w14:textId="77777777" w:rsidR="00E67EE1" w:rsidRDefault="00E67EE1" w:rsidP="00405329">
      <w:pPr>
        <w:pStyle w:val="Heading1"/>
      </w:pPr>
      <w:bookmarkStart w:id="163" w:name="_Performance_reporting_1"/>
      <w:bookmarkStart w:id="164" w:name="_Toc75332415"/>
      <w:bookmarkEnd w:id="163"/>
      <w:r w:rsidRPr="00316485">
        <w:t>Performance</w:t>
      </w:r>
      <w:r>
        <w:t xml:space="preserve"> reporting</w:t>
      </w:r>
      <w:bookmarkEnd w:id="164"/>
    </w:p>
    <w:p w14:paraId="105D270E" w14:textId="77777777" w:rsidR="00E67EE1" w:rsidRDefault="00E67EE1" w:rsidP="00E67EE1">
      <w:r w:rsidRPr="002B2732">
        <w:t xml:space="preserve">Ensuring compliance is the responsibility of </w:t>
      </w:r>
      <w:r>
        <w:t xml:space="preserve">both the administrator and the FRA. Parties should work closely together to ensure </w:t>
      </w:r>
      <w:r w:rsidRPr="002B2732">
        <w:t xml:space="preserve">compliance with all statutory requirements, whether they are specifically referenced in the </w:t>
      </w:r>
      <w:r>
        <w:t>r</w:t>
      </w:r>
      <w:r w:rsidRPr="002B2732">
        <w:t xml:space="preserve">egulations, in overriding legislation, or in this </w:t>
      </w:r>
      <w:r>
        <w:t>a</w:t>
      </w:r>
      <w:r w:rsidRPr="002B2732">
        <w:t xml:space="preserve">dministration </w:t>
      </w:r>
      <w:r>
        <w:t>s</w:t>
      </w:r>
      <w:r w:rsidRPr="002B2732">
        <w:t xml:space="preserve">trategy.  </w:t>
      </w:r>
    </w:p>
    <w:p w14:paraId="60B01023" w14:textId="77777777" w:rsidR="00E67EE1" w:rsidRDefault="00E67EE1" w:rsidP="00E67EE1">
      <w:r>
        <w:t>Both employer and administrator targets will be measured on a quarterly basis against specific tasks set out in the service level agreement and these will be reported to the FRA. The FRA may choose to provide the information to their Local Pension Board.</w:t>
      </w:r>
    </w:p>
    <w:p w14:paraId="5D67F690" w14:textId="77777777" w:rsidR="00E67EE1" w:rsidRDefault="00E67EE1" w:rsidP="00E67EE1">
      <w:r>
        <w:t>[</w:t>
      </w:r>
      <w:r w:rsidRPr="00E54B22">
        <w:rPr>
          <w:highlight w:val="yellow"/>
        </w:rPr>
        <w:t>The administrator</w:t>
      </w:r>
      <w:r>
        <w:t xml:space="preserve">] will ensure that they are appropriately resourced to meet the service level agreement in place. </w:t>
      </w:r>
    </w:p>
    <w:p w14:paraId="786AE912" w14:textId="77777777" w:rsidR="00E67EE1" w:rsidRDefault="00E67EE1" w:rsidP="00E67EE1">
      <w:r>
        <w:lastRenderedPageBreak/>
        <w:t>The service level agreement can be viewed [</w:t>
      </w:r>
      <w:r w:rsidRPr="00E3079E">
        <w:rPr>
          <w:highlight w:val="yellow"/>
        </w:rPr>
        <w:t>INSERT LINK</w:t>
      </w:r>
      <w:r>
        <w:t>].</w:t>
      </w:r>
    </w:p>
    <w:p w14:paraId="387C53EC" w14:textId="77777777" w:rsidR="00E67EE1" w:rsidRPr="00316485" w:rsidRDefault="00E67EE1" w:rsidP="00E67EE1">
      <w:r w:rsidRPr="00E54B22">
        <w:t>Minimum standards for completing task</w:t>
      </w:r>
      <w:r>
        <w:t>s</w:t>
      </w:r>
      <w:r w:rsidRPr="00E54B22">
        <w:t xml:space="preserve"> in line with industry good practice and regulations, where applicable, are included at </w:t>
      </w:r>
      <w:hyperlink w:anchor="_Appendix_1._Standard" w:history="1">
        <w:r w:rsidRPr="00E54B22">
          <w:rPr>
            <w:rStyle w:val="Hyperlink"/>
          </w:rPr>
          <w:t>Appendix 1</w:t>
        </w:r>
      </w:hyperlink>
      <w:r w:rsidRPr="00E54B22">
        <w:t>.</w:t>
      </w:r>
      <w:r>
        <w:t xml:space="preserve"> These are provided as a guide to the minimum requirements. As a matter of best practice, administrators may want to implement shorter local timescales. </w:t>
      </w:r>
    </w:p>
    <w:p w14:paraId="14AC4C4B" w14:textId="77777777" w:rsidR="00E67EE1" w:rsidRDefault="00E67EE1" w:rsidP="00E67EE1">
      <w:r>
        <w:t>A key factor in calculating the time taken to complete as process is the point at which the ‘time clock’ is started. This may be from the date of the relevant event or when the administrator is informed or receives all necessary information. The clock may also need to be ‘paused’ during the process, for example to await instruction or documentation from the member or employer, and these waiting days can reasonably be excluded from the total time taken.</w:t>
      </w:r>
    </w:p>
    <w:p w14:paraId="30F79EA2" w14:textId="77777777" w:rsidR="00E67EE1" w:rsidRPr="00E54B22" w:rsidRDefault="00E67EE1" w:rsidP="00E67EE1">
      <w:r>
        <w:t xml:space="preserve">Pension administration software typically contains task-management/ work-flow modules which allow timescales to be built in. </w:t>
      </w:r>
    </w:p>
    <w:p w14:paraId="268D67F9" w14:textId="77777777" w:rsidR="00E67EE1" w:rsidRDefault="00E67EE1" w:rsidP="00405329">
      <w:pPr>
        <w:pStyle w:val="Heading1"/>
      </w:pPr>
      <w:bookmarkStart w:id="165" w:name="_Toc75332416"/>
      <w:r w:rsidRPr="00316485">
        <w:t>Improving</w:t>
      </w:r>
      <w:r>
        <w:t xml:space="preserve"> performance</w:t>
      </w:r>
      <w:bookmarkEnd w:id="165"/>
    </w:p>
    <w:p w14:paraId="46BAFFDF" w14:textId="77777777" w:rsidR="000842D8" w:rsidRDefault="00E67EE1" w:rsidP="00E67EE1">
      <w:pPr>
        <w:rPr>
          <w:b/>
          <w:bCs/>
        </w:rPr>
      </w:pPr>
      <w:r w:rsidRPr="00316485">
        <w:rPr>
          <w:b/>
          <w:bCs/>
        </w:rPr>
        <w:t>Where areas of poor performance on either side are identified, [</w:t>
      </w:r>
      <w:r w:rsidRPr="00316485">
        <w:rPr>
          <w:b/>
          <w:bCs/>
          <w:highlight w:val="yellow"/>
        </w:rPr>
        <w:t>the administrator</w:t>
      </w:r>
      <w:r w:rsidRPr="00316485">
        <w:rPr>
          <w:b/>
          <w:bCs/>
        </w:rPr>
        <w:t>] will work closely with the FRA to provide the opportunity for necessary training and development</w:t>
      </w:r>
      <w:r w:rsidR="000842D8">
        <w:rPr>
          <w:b/>
          <w:bCs/>
        </w:rPr>
        <w:t>.</w:t>
      </w:r>
    </w:p>
    <w:p w14:paraId="19DA7B00" w14:textId="6F6E4AD6" w:rsidR="00E67EE1" w:rsidRDefault="00E37BA1" w:rsidP="00E67EE1">
      <w:r>
        <w:t>A</w:t>
      </w:r>
      <w:r w:rsidR="00E67EE1" w:rsidRPr="002027CB">
        <w:t xml:space="preserve">ppropriate processes </w:t>
      </w:r>
      <w:r>
        <w:t xml:space="preserve">will be put in place </w:t>
      </w:r>
      <w:r w:rsidR="00E67EE1" w:rsidRPr="002027CB">
        <w:t>to improve the level of service</w:t>
      </w:r>
      <w:r w:rsidR="00E67EE1">
        <w:t xml:space="preserve"> delivery</w:t>
      </w:r>
      <w:r w:rsidR="00E67EE1" w:rsidRPr="002027CB">
        <w:t>.</w:t>
      </w:r>
      <w:r w:rsidR="00656948">
        <w:t xml:space="preserve"> </w:t>
      </w:r>
      <w:r w:rsidR="00656948" w:rsidRPr="00405329">
        <w:rPr>
          <w:highlight w:val="yellow"/>
        </w:rPr>
        <w:t>[An example escalation procedure is shown below, this is intended to apply in case</w:t>
      </w:r>
      <w:r w:rsidR="000842D8" w:rsidRPr="00405329">
        <w:rPr>
          <w:highlight w:val="yellow"/>
        </w:rPr>
        <w:t xml:space="preserve"> of performance issue</w:t>
      </w:r>
      <w:r w:rsidR="000842D8">
        <w:rPr>
          <w:highlight w:val="yellow"/>
        </w:rPr>
        <w:t>s</w:t>
      </w:r>
      <w:r w:rsidR="000842D8" w:rsidRPr="00405329">
        <w:rPr>
          <w:highlight w:val="yellow"/>
        </w:rPr>
        <w:t xml:space="preserve"> identified on either side.]</w:t>
      </w:r>
    </w:p>
    <w:p w14:paraId="6DAD63AC" w14:textId="77777777" w:rsidR="00E67EE1" w:rsidRPr="00316485" w:rsidRDefault="00E67EE1" w:rsidP="00E67EE1">
      <w:pPr>
        <w:pStyle w:val="Bulletlist"/>
      </w:pPr>
      <w:r w:rsidRPr="00316485">
        <w:t>Initially [</w:t>
      </w:r>
      <w:r w:rsidRPr="00316485">
        <w:rPr>
          <w:highlight w:val="yellow"/>
        </w:rPr>
        <w:t>the administrator</w:t>
      </w:r>
      <w:r w:rsidRPr="00316485">
        <w:t>] will liaise with the FRA setting out the area(s) of poor performance and how they can be addressed.</w:t>
      </w:r>
    </w:p>
    <w:p w14:paraId="2FD5B1ED" w14:textId="77777777" w:rsidR="00E67EE1" w:rsidRPr="00316485" w:rsidRDefault="00E67EE1" w:rsidP="00E67EE1">
      <w:pPr>
        <w:pStyle w:val="Bulletlist"/>
      </w:pPr>
      <w:r w:rsidRPr="00316485">
        <w:rPr>
          <w:iCs w:val="0"/>
        </w:rPr>
        <w:t>Where no improvement is demonstrated or there has been a failure to take agreed action, [</w:t>
      </w:r>
      <w:r w:rsidRPr="00316485">
        <w:rPr>
          <w:iCs w:val="0"/>
          <w:highlight w:val="yellow"/>
        </w:rPr>
        <w:t>the administrator</w:t>
      </w:r>
      <w:r w:rsidRPr="00316485">
        <w:rPr>
          <w:iCs w:val="0"/>
        </w:rPr>
        <w:t>] will write to the scheme manager setting out the area(s) of poor performance that has been identified and the steps taken to resolve those area(s).</w:t>
      </w:r>
    </w:p>
    <w:p w14:paraId="34178F10" w14:textId="53DDCA38" w:rsidR="00E67EE1" w:rsidRDefault="00E67EE1" w:rsidP="00E67EE1">
      <w:pPr>
        <w:pStyle w:val="Bulletlist"/>
      </w:pPr>
      <w:r w:rsidRPr="00316485">
        <w:t>If lack of improvement continues or there has been ongoing failure to take agreed action, [</w:t>
      </w:r>
      <w:r w:rsidRPr="00316485">
        <w:rPr>
          <w:highlight w:val="yellow"/>
        </w:rPr>
        <w:t>the administrator</w:t>
      </w:r>
      <w:r w:rsidRPr="00316485">
        <w:t>] will write to the Local Pension Board setting out the area(s) of poor performance that has been identified and the steps taken to resolve those area(s).</w:t>
      </w:r>
    </w:p>
    <w:p w14:paraId="06D83AF9" w14:textId="1E16BB04" w:rsidR="00E67EE1" w:rsidRDefault="00E67EE1" w:rsidP="00E67EE1">
      <w:r>
        <w:t>Administrators</w:t>
      </w:r>
      <w:r w:rsidRPr="002027CB">
        <w:t xml:space="preserve"> rely on timely and accurate data from </w:t>
      </w:r>
      <w:r>
        <w:t>the FRA</w:t>
      </w:r>
      <w:r w:rsidRPr="002027CB">
        <w:t>. Where persistent and ongoing failure occurs and no improvement is demonstrated</w:t>
      </w:r>
      <w:r>
        <w:t>, [</w:t>
      </w:r>
      <w:r w:rsidRPr="00E3079E">
        <w:rPr>
          <w:highlight w:val="yellow"/>
        </w:rPr>
        <w:t>the administrator</w:t>
      </w:r>
      <w:r>
        <w:t>]</w:t>
      </w:r>
      <w:r w:rsidRPr="002027CB">
        <w:t xml:space="preserve"> will escalate this to the </w:t>
      </w:r>
      <w:r>
        <w:t>s</w:t>
      </w:r>
      <w:r w:rsidRPr="002027CB">
        <w:t xml:space="preserve">cheme </w:t>
      </w:r>
      <w:r>
        <w:t>m</w:t>
      </w:r>
      <w:r w:rsidRPr="002027CB">
        <w:t>anager an</w:t>
      </w:r>
      <w:r>
        <w:t>d</w:t>
      </w:r>
      <w:r w:rsidRPr="002027CB">
        <w:t xml:space="preserve"> Local</w:t>
      </w:r>
      <w:r>
        <w:t xml:space="preserve"> Pension</w:t>
      </w:r>
      <w:r w:rsidRPr="002027CB">
        <w:t xml:space="preserve"> Board</w:t>
      </w:r>
      <w:r w:rsidR="00E37BA1">
        <w:t xml:space="preserve"> as above</w:t>
      </w:r>
      <w:r w:rsidRPr="002027CB">
        <w:t>.</w:t>
      </w:r>
    </w:p>
    <w:p w14:paraId="305B13FC" w14:textId="28566A5A" w:rsidR="00E67EE1" w:rsidRDefault="00E67EE1" w:rsidP="00E67EE1">
      <w:pPr>
        <w:pStyle w:val="NormalWeb"/>
        <w:rPr>
          <w:rFonts w:ascii="Arial" w:hAnsi="Arial" w:cs="Arial"/>
          <w:color w:val="000000" w:themeColor="text1"/>
          <w:szCs w:val="21"/>
        </w:rPr>
      </w:pPr>
      <w:r w:rsidRPr="00E3079E">
        <w:rPr>
          <w:rFonts w:ascii="Arial" w:hAnsi="Arial" w:cs="Arial"/>
          <w:color w:val="000000" w:themeColor="text1"/>
          <w:szCs w:val="21"/>
        </w:rPr>
        <w:t xml:space="preserve">Where an employer fails to operate in accordance with the standards described in this </w:t>
      </w:r>
      <w:r w:rsidR="00A84C7D">
        <w:rPr>
          <w:rFonts w:ascii="Arial" w:hAnsi="Arial" w:cs="Arial"/>
          <w:color w:val="000000" w:themeColor="text1"/>
          <w:szCs w:val="21"/>
        </w:rPr>
        <w:t>s</w:t>
      </w:r>
      <w:r w:rsidRPr="00E3079E">
        <w:rPr>
          <w:rFonts w:ascii="Arial" w:hAnsi="Arial" w:cs="Arial"/>
          <w:color w:val="000000" w:themeColor="text1"/>
          <w:szCs w:val="21"/>
        </w:rPr>
        <w:t>trategy, which leads to extra costs being incurred by the administ</w:t>
      </w:r>
      <w:r>
        <w:rPr>
          <w:rFonts w:ascii="Arial" w:hAnsi="Arial" w:cs="Arial"/>
          <w:color w:val="000000" w:themeColor="text1"/>
          <w:szCs w:val="21"/>
        </w:rPr>
        <w:t>rator</w:t>
      </w:r>
      <w:r w:rsidRPr="00E3079E">
        <w:rPr>
          <w:rFonts w:ascii="Arial" w:hAnsi="Arial" w:cs="Arial"/>
          <w:color w:val="000000" w:themeColor="text1"/>
          <w:szCs w:val="21"/>
        </w:rPr>
        <w:t>, the administ</w:t>
      </w:r>
      <w:r>
        <w:rPr>
          <w:rFonts w:ascii="Arial" w:hAnsi="Arial" w:cs="Arial"/>
          <w:color w:val="000000" w:themeColor="text1"/>
          <w:szCs w:val="21"/>
        </w:rPr>
        <w:t>rator</w:t>
      </w:r>
      <w:r w:rsidRPr="00E3079E">
        <w:rPr>
          <w:rFonts w:ascii="Arial" w:hAnsi="Arial" w:cs="Arial"/>
          <w:color w:val="000000" w:themeColor="text1"/>
          <w:szCs w:val="21"/>
        </w:rPr>
        <w:t xml:space="preserve"> may issue a written notice requiring that these be met by the employer. </w:t>
      </w:r>
    </w:p>
    <w:p w14:paraId="311A86DC" w14:textId="163ACF52" w:rsidR="00E67EE1" w:rsidRDefault="00E67EE1" w:rsidP="00E67EE1">
      <w:pPr>
        <w:rPr>
          <w:rFonts w:cs="Arial"/>
          <w:color w:val="000000" w:themeColor="text1"/>
          <w:szCs w:val="21"/>
        </w:rPr>
      </w:pPr>
      <w:r>
        <w:rPr>
          <w:rFonts w:cs="Arial"/>
          <w:color w:val="000000" w:themeColor="text1"/>
          <w:szCs w:val="21"/>
        </w:rPr>
        <w:t>Any third-party costs or regulatory fines incurred by the administrator</w:t>
      </w:r>
      <w:r w:rsidR="004323F0">
        <w:rPr>
          <w:rFonts w:cs="Arial"/>
          <w:color w:val="000000" w:themeColor="text1"/>
          <w:szCs w:val="21"/>
        </w:rPr>
        <w:t xml:space="preserve"> solely</w:t>
      </w:r>
      <w:r>
        <w:rPr>
          <w:rFonts w:cs="Arial"/>
          <w:color w:val="000000" w:themeColor="text1"/>
          <w:szCs w:val="21"/>
        </w:rPr>
        <w:t xml:space="preserve"> as a result of poor performance by the employer </w:t>
      </w:r>
      <w:r w:rsidR="00E37BA1">
        <w:rPr>
          <w:rFonts w:cs="Arial"/>
          <w:color w:val="000000" w:themeColor="text1"/>
          <w:szCs w:val="21"/>
        </w:rPr>
        <w:t>may</w:t>
      </w:r>
      <w:r>
        <w:rPr>
          <w:rFonts w:cs="Arial"/>
          <w:color w:val="000000" w:themeColor="text1"/>
          <w:szCs w:val="21"/>
        </w:rPr>
        <w:t xml:space="preserve"> also be recovered. Such costs may include fines imposed by the Pensions Ombudsman or Pensions Regulator, and additional charges in respect of actuarial or software fees, and additional printing and distribution costs. </w:t>
      </w:r>
    </w:p>
    <w:p w14:paraId="3A7B1FD3" w14:textId="5919F29D" w:rsidR="00B37BEF" w:rsidRDefault="00262B1E" w:rsidP="00E67EE1">
      <w:pPr>
        <w:rPr>
          <w:rFonts w:cs="Arial"/>
          <w:color w:val="000000" w:themeColor="text1"/>
          <w:szCs w:val="21"/>
        </w:rPr>
      </w:pPr>
      <w:r>
        <w:rPr>
          <w:rFonts w:cs="Arial"/>
          <w:color w:val="000000" w:themeColor="text1"/>
          <w:szCs w:val="21"/>
        </w:rPr>
        <w:lastRenderedPageBreak/>
        <w:t>If an administrator fails to operate in accordance with the standar</w:t>
      </w:r>
      <w:r w:rsidR="008F33E6">
        <w:rPr>
          <w:rFonts w:cs="Arial"/>
          <w:color w:val="000000" w:themeColor="text1"/>
          <w:szCs w:val="21"/>
        </w:rPr>
        <w:t xml:space="preserve">ds described in this strategy </w:t>
      </w:r>
      <w:r w:rsidR="00C25A76">
        <w:rPr>
          <w:rFonts w:cs="Arial"/>
          <w:color w:val="000000" w:themeColor="text1"/>
          <w:szCs w:val="21"/>
        </w:rPr>
        <w:t>or the service level agreement</w:t>
      </w:r>
      <w:r w:rsidR="0081097C">
        <w:rPr>
          <w:rFonts w:cs="Arial"/>
          <w:color w:val="000000" w:themeColor="text1"/>
          <w:szCs w:val="21"/>
        </w:rPr>
        <w:t xml:space="preserve">, </w:t>
      </w:r>
      <w:r w:rsidR="007D1AA3">
        <w:rPr>
          <w:rFonts w:cs="Arial"/>
          <w:color w:val="000000" w:themeColor="text1"/>
          <w:szCs w:val="21"/>
        </w:rPr>
        <w:t>the employer</w:t>
      </w:r>
      <w:r w:rsidR="002E5085">
        <w:rPr>
          <w:rFonts w:cs="Arial"/>
          <w:color w:val="000000" w:themeColor="text1"/>
          <w:szCs w:val="21"/>
        </w:rPr>
        <w:t xml:space="preserve"> may consider whether a credit can be offset against their annual fee </w:t>
      </w:r>
      <w:r w:rsidR="00897EF9">
        <w:rPr>
          <w:rFonts w:cs="Arial"/>
          <w:color w:val="000000" w:themeColor="text1"/>
          <w:szCs w:val="21"/>
        </w:rPr>
        <w:t>or any fines or additional costs should be met by the administrator.</w:t>
      </w:r>
    </w:p>
    <w:p w14:paraId="64CABB87" w14:textId="4F923ABA" w:rsidR="004E1E60" w:rsidRDefault="004E1E60" w:rsidP="00E67EE1">
      <w:pPr>
        <w:rPr>
          <w:rFonts w:cs="Arial"/>
          <w:color w:val="000000" w:themeColor="text1"/>
          <w:szCs w:val="21"/>
        </w:rPr>
      </w:pPr>
      <w:r>
        <w:rPr>
          <w:rFonts w:cs="Arial"/>
          <w:color w:val="000000" w:themeColor="text1"/>
          <w:szCs w:val="21"/>
        </w:rPr>
        <w:t xml:space="preserve">In addition to financial penalties, both parties should consider the risk of reputational damage that may </w:t>
      </w:r>
      <w:r w:rsidR="00095F41">
        <w:rPr>
          <w:rFonts w:cs="Arial"/>
          <w:color w:val="000000" w:themeColor="text1"/>
          <w:szCs w:val="21"/>
        </w:rPr>
        <w:t xml:space="preserve">arise </w:t>
      </w:r>
      <w:r w:rsidR="00095F41" w:rsidRPr="00095F41">
        <w:rPr>
          <w:rFonts w:cs="Arial"/>
          <w:color w:val="000000" w:themeColor="text1"/>
          <w:szCs w:val="21"/>
        </w:rPr>
        <w:t>where a Pensions Ombudsman finding is published in the public domain and/or any fines are publicised.</w:t>
      </w:r>
    </w:p>
    <w:p w14:paraId="37E3D2D4" w14:textId="7EEC34DC" w:rsidR="005A4710" w:rsidRPr="00E3079E" w:rsidRDefault="005A4710" w:rsidP="00E67EE1">
      <w:r>
        <w:rPr>
          <w:rFonts w:cs="Arial"/>
          <w:color w:val="000000" w:themeColor="text1"/>
          <w:szCs w:val="21"/>
        </w:rPr>
        <w:t>These recommendations do not override the</w:t>
      </w:r>
      <w:r w:rsidRPr="005A4710">
        <w:rPr>
          <w:rFonts w:cs="Arial"/>
          <w:color w:val="000000" w:themeColor="text1"/>
          <w:szCs w:val="21"/>
        </w:rPr>
        <w:t xml:space="preserve"> legal position and contractual relationship between </w:t>
      </w:r>
      <w:r>
        <w:rPr>
          <w:rFonts w:cs="Arial"/>
          <w:color w:val="000000" w:themeColor="text1"/>
          <w:szCs w:val="21"/>
        </w:rPr>
        <w:t xml:space="preserve">the </w:t>
      </w:r>
      <w:r w:rsidRPr="005A4710">
        <w:rPr>
          <w:rFonts w:cs="Arial"/>
          <w:color w:val="000000" w:themeColor="text1"/>
          <w:szCs w:val="21"/>
        </w:rPr>
        <w:t>admin</w:t>
      </w:r>
      <w:r>
        <w:rPr>
          <w:rFonts w:cs="Arial"/>
          <w:color w:val="000000" w:themeColor="text1"/>
          <w:szCs w:val="21"/>
        </w:rPr>
        <w:t>istrator</w:t>
      </w:r>
      <w:r w:rsidRPr="005A4710">
        <w:rPr>
          <w:rFonts w:cs="Arial"/>
          <w:color w:val="000000" w:themeColor="text1"/>
          <w:szCs w:val="21"/>
        </w:rPr>
        <w:t xml:space="preserve"> and FRA</w:t>
      </w:r>
      <w:r>
        <w:rPr>
          <w:rFonts w:cs="Arial"/>
          <w:color w:val="000000" w:themeColor="text1"/>
          <w:szCs w:val="21"/>
        </w:rPr>
        <w:t>.</w:t>
      </w:r>
    </w:p>
    <w:p w14:paraId="139C9040" w14:textId="3AB27676" w:rsidR="004670F2" w:rsidRDefault="004670F2" w:rsidP="00316485">
      <w:pPr>
        <w:pStyle w:val="Heading1"/>
      </w:pPr>
      <w:bookmarkStart w:id="166" w:name="_Service_standards_to"/>
      <w:bookmarkStart w:id="167" w:name="_Service_standards"/>
      <w:bookmarkStart w:id="168" w:name="_Toc75332417"/>
      <w:bookmarkEnd w:id="166"/>
      <w:bookmarkEnd w:id="167"/>
      <w:r>
        <w:t xml:space="preserve">Service </w:t>
      </w:r>
      <w:r w:rsidRPr="00685623">
        <w:t>standards</w:t>
      </w:r>
      <w:bookmarkEnd w:id="168"/>
      <w:r>
        <w:t xml:space="preserve"> </w:t>
      </w:r>
    </w:p>
    <w:p w14:paraId="6F15CCA6" w14:textId="07955BFD" w:rsidR="00841D62" w:rsidRDefault="00841D62" w:rsidP="001D4D10">
      <w:r w:rsidRPr="00E3079E">
        <w:t xml:space="preserve">The FRA and administrator responsibilities expected in relation to member events are outlined in the table below. </w:t>
      </w:r>
      <w:r w:rsidR="00C54694" w:rsidRPr="00E3079E">
        <w:t>Minimum standards for completing each task in line with industry good practice and regulation</w:t>
      </w:r>
      <w:r w:rsidR="001922F3" w:rsidRPr="00E3079E">
        <w:t>s,</w:t>
      </w:r>
      <w:r w:rsidR="00C54694" w:rsidRPr="00E3079E">
        <w:t xml:space="preserve"> where applicable</w:t>
      </w:r>
      <w:r w:rsidR="001922F3" w:rsidRPr="00E3079E">
        <w:t>,</w:t>
      </w:r>
      <w:r w:rsidR="00C54694" w:rsidRPr="00E3079E">
        <w:t xml:space="preserve"> are included at </w:t>
      </w:r>
      <w:hyperlink w:anchor="_Appendix_1._Standard_1" w:history="1">
        <w:r w:rsidR="00C54694" w:rsidRPr="00E45A30">
          <w:rPr>
            <w:rStyle w:val="Hyperlink"/>
          </w:rPr>
          <w:t>Appendix 1</w:t>
        </w:r>
      </w:hyperlink>
      <w:r w:rsidR="00C54694" w:rsidRPr="00E3079E">
        <w:t>.</w:t>
      </w:r>
    </w:p>
    <w:p w14:paraId="6BB2BA13" w14:textId="1FCD6A03" w:rsidR="006612A2" w:rsidRPr="00E3079E" w:rsidRDefault="006612A2" w:rsidP="006612A2"/>
    <w:tbl>
      <w:tblPr>
        <w:tblStyle w:val="TableGrid"/>
        <w:tblW w:w="0" w:type="auto"/>
        <w:tblLook w:val="04A0" w:firstRow="1" w:lastRow="0" w:firstColumn="1" w:lastColumn="0" w:noHBand="0" w:noVBand="1"/>
      </w:tblPr>
      <w:tblGrid>
        <w:gridCol w:w="4940"/>
        <w:gridCol w:w="4940"/>
      </w:tblGrid>
      <w:tr w:rsidR="006A30D3" w14:paraId="5834894F" w14:textId="77777777" w:rsidTr="00E3079E">
        <w:tc>
          <w:tcPr>
            <w:tcW w:w="4940" w:type="dxa"/>
            <w:shd w:val="clear" w:color="auto" w:fill="000000" w:themeFill="text1"/>
          </w:tcPr>
          <w:p w14:paraId="2B2024CB" w14:textId="2F658C73" w:rsidR="006A30D3" w:rsidRPr="00E3079E" w:rsidRDefault="001F440F" w:rsidP="001D4D10">
            <w:pPr>
              <w:rPr>
                <w:rFonts w:cs="Arial"/>
                <w:b/>
                <w:color w:val="FFFFFF" w:themeColor="background1"/>
                <w:szCs w:val="24"/>
              </w:rPr>
            </w:pPr>
            <w:r w:rsidRPr="00E3079E">
              <w:rPr>
                <w:rFonts w:cs="Arial"/>
                <w:b/>
                <w:color w:val="FFFFFF" w:themeColor="background1"/>
                <w:szCs w:val="24"/>
              </w:rPr>
              <w:t>Function/ task: New starters</w:t>
            </w:r>
          </w:p>
        </w:tc>
        <w:tc>
          <w:tcPr>
            <w:tcW w:w="4940" w:type="dxa"/>
            <w:shd w:val="clear" w:color="auto" w:fill="000000" w:themeFill="text1"/>
          </w:tcPr>
          <w:p w14:paraId="0B3054DE" w14:textId="4DB60E26" w:rsidR="006A30D3" w:rsidRPr="00E3079E" w:rsidRDefault="006A30D3" w:rsidP="001D4D10">
            <w:pPr>
              <w:rPr>
                <w:rFonts w:cs="Arial"/>
                <w:b/>
                <w:color w:val="FFFFFF" w:themeColor="background1"/>
                <w:szCs w:val="24"/>
              </w:rPr>
            </w:pPr>
          </w:p>
        </w:tc>
      </w:tr>
      <w:tr w:rsidR="006A30D3" w14:paraId="2303CBFD" w14:textId="77777777" w:rsidTr="006A30D3">
        <w:tc>
          <w:tcPr>
            <w:tcW w:w="4940" w:type="dxa"/>
          </w:tcPr>
          <w:p w14:paraId="72849288" w14:textId="26D78A22" w:rsidR="006A30D3" w:rsidRPr="00E3079E" w:rsidRDefault="001F440F" w:rsidP="001D4D10">
            <w:pPr>
              <w:rPr>
                <w:rFonts w:cs="Arial"/>
                <w:b/>
                <w:szCs w:val="24"/>
              </w:rPr>
            </w:pPr>
            <w:r w:rsidRPr="00E3079E">
              <w:rPr>
                <w:rFonts w:cs="Arial"/>
                <w:b/>
                <w:szCs w:val="24"/>
              </w:rPr>
              <w:t>Employer responsibility</w:t>
            </w:r>
          </w:p>
        </w:tc>
        <w:tc>
          <w:tcPr>
            <w:tcW w:w="4940" w:type="dxa"/>
          </w:tcPr>
          <w:p w14:paraId="62F66EC1" w14:textId="32378F3D" w:rsidR="006A30D3" w:rsidRPr="00E3079E" w:rsidRDefault="001F440F" w:rsidP="001D4D10">
            <w:pPr>
              <w:rPr>
                <w:rFonts w:cs="Arial"/>
                <w:b/>
                <w:szCs w:val="24"/>
              </w:rPr>
            </w:pPr>
            <w:r w:rsidRPr="00E3079E">
              <w:rPr>
                <w:rFonts w:cs="Arial"/>
                <w:b/>
                <w:szCs w:val="24"/>
              </w:rPr>
              <w:t>Administrator responsibility</w:t>
            </w:r>
          </w:p>
        </w:tc>
      </w:tr>
      <w:tr w:rsidR="006A30D3" w14:paraId="0BFD92C3" w14:textId="77777777" w:rsidTr="006A30D3">
        <w:tc>
          <w:tcPr>
            <w:tcW w:w="4940" w:type="dxa"/>
          </w:tcPr>
          <w:p w14:paraId="438E1538" w14:textId="7CAC4BBD" w:rsidR="001B13F1" w:rsidRPr="00E3079E" w:rsidRDefault="001B13F1" w:rsidP="001F440F">
            <w:pPr>
              <w:rPr>
                <w:rFonts w:cs="Arial"/>
                <w:szCs w:val="24"/>
              </w:rPr>
            </w:pPr>
            <w:r w:rsidRPr="00E3079E">
              <w:rPr>
                <w:rFonts w:cs="Arial"/>
                <w:szCs w:val="24"/>
              </w:rPr>
              <w:t xml:space="preserve">Ensure pension information is included in new starter documentation </w:t>
            </w:r>
            <w:proofErr w:type="gramStart"/>
            <w:r w:rsidRPr="00E3079E">
              <w:rPr>
                <w:rFonts w:cs="Arial"/>
                <w:szCs w:val="24"/>
              </w:rPr>
              <w:t>e.g.</w:t>
            </w:r>
            <w:proofErr w:type="gramEnd"/>
            <w:r w:rsidRPr="00E3079E">
              <w:rPr>
                <w:rFonts w:cs="Arial"/>
                <w:szCs w:val="24"/>
              </w:rPr>
              <w:t xml:space="preserve"> appointment letter, contract of employment.</w:t>
            </w:r>
          </w:p>
          <w:p w14:paraId="130FCEB7" w14:textId="615FE2DC" w:rsidR="001B13F1" w:rsidRPr="00E3079E" w:rsidRDefault="001B13F1" w:rsidP="001F440F">
            <w:pPr>
              <w:rPr>
                <w:rFonts w:cs="Arial"/>
                <w:szCs w:val="24"/>
              </w:rPr>
            </w:pPr>
            <w:r w:rsidRPr="00E3079E">
              <w:rPr>
                <w:rFonts w:cs="Arial"/>
                <w:szCs w:val="24"/>
              </w:rPr>
              <w:t>Ensure eligible new starters are put into the scheme from their start date.</w:t>
            </w:r>
          </w:p>
          <w:p w14:paraId="6A81D195" w14:textId="43EC3AB8" w:rsidR="001B13F1" w:rsidRPr="00E3079E" w:rsidRDefault="001B13F1" w:rsidP="001F440F">
            <w:pPr>
              <w:rPr>
                <w:rFonts w:cs="Arial"/>
                <w:szCs w:val="24"/>
              </w:rPr>
            </w:pPr>
            <w:r w:rsidRPr="00E3079E">
              <w:rPr>
                <w:rFonts w:cs="Arial"/>
                <w:szCs w:val="24"/>
              </w:rPr>
              <w:t xml:space="preserve">Provide accurate member data to the administrator </w:t>
            </w:r>
            <w:r w:rsidR="00D70181" w:rsidRPr="00E3079E">
              <w:rPr>
                <w:rFonts w:cs="Arial"/>
                <w:szCs w:val="24"/>
              </w:rPr>
              <w:t xml:space="preserve">on the appropriate form/via electronic interface. </w:t>
            </w:r>
            <w:r w:rsidRPr="00E3079E">
              <w:rPr>
                <w:rFonts w:cs="Arial"/>
                <w:szCs w:val="24"/>
              </w:rPr>
              <w:t>(</w:t>
            </w:r>
            <w:r w:rsidRPr="00E3079E">
              <w:rPr>
                <w:rFonts w:cs="Arial"/>
                <w:szCs w:val="24"/>
                <w:highlight w:val="yellow"/>
              </w:rPr>
              <w:t>within 4 weeks</w:t>
            </w:r>
            <w:r w:rsidR="00D70181" w:rsidRPr="00E3079E">
              <w:rPr>
                <w:rFonts w:cs="Arial"/>
                <w:szCs w:val="24"/>
                <w:highlight w:val="yellow"/>
              </w:rPr>
              <w:t>/ 10 working days</w:t>
            </w:r>
            <w:r w:rsidRPr="00E3079E">
              <w:rPr>
                <w:rFonts w:cs="Arial"/>
                <w:szCs w:val="24"/>
              </w:rPr>
              <w:t xml:space="preserve">). </w:t>
            </w:r>
          </w:p>
          <w:p w14:paraId="320DDF87" w14:textId="377E57E5" w:rsidR="00D70181" w:rsidRPr="00E3079E" w:rsidRDefault="001B13F1" w:rsidP="001F440F">
            <w:pPr>
              <w:rPr>
                <w:rFonts w:cs="Arial"/>
                <w:szCs w:val="24"/>
              </w:rPr>
            </w:pPr>
            <w:r w:rsidRPr="00E3079E">
              <w:rPr>
                <w:rFonts w:cs="Arial"/>
                <w:szCs w:val="24"/>
              </w:rPr>
              <w:t>Provide starters with a new member form and access to a scheme guide with their contract of employment.</w:t>
            </w:r>
          </w:p>
          <w:p w14:paraId="29949128" w14:textId="244B7121" w:rsidR="00954351" w:rsidRPr="00E3079E" w:rsidRDefault="00D70181" w:rsidP="001F440F">
            <w:pPr>
              <w:rPr>
                <w:rFonts w:cs="Arial"/>
                <w:szCs w:val="24"/>
              </w:rPr>
            </w:pPr>
            <w:r w:rsidRPr="00E3079E">
              <w:rPr>
                <w:rFonts w:cs="Arial"/>
                <w:szCs w:val="24"/>
              </w:rPr>
              <w:t>Determine the correct contribution band and rate for the member</w:t>
            </w:r>
            <w:r w:rsidR="00954351" w:rsidRPr="00E3079E">
              <w:rPr>
                <w:rFonts w:cs="Arial"/>
                <w:szCs w:val="24"/>
              </w:rPr>
              <w:t>.</w:t>
            </w:r>
          </w:p>
          <w:p w14:paraId="2FC48C68" w14:textId="141DBDD2" w:rsidR="001B6E7D" w:rsidRDefault="00954351" w:rsidP="00954351">
            <w:pPr>
              <w:rPr>
                <w:rFonts w:cs="Arial"/>
                <w:szCs w:val="24"/>
              </w:rPr>
            </w:pPr>
            <w:r w:rsidRPr="00E3079E">
              <w:rPr>
                <w:rFonts w:cs="Arial"/>
                <w:szCs w:val="24"/>
              </w:rPr>
              <w:t xml:space="preserve">Inform the administrator of </w:t>
            </w:r>
            <w:r w:rsidR="001F440F" w:rsidRPr="00E3079E">
              <w:rPr>
                <w:rFonts w:cs="Arial"/>
                <w:szCs w:val="24"/>
              </w:rPr>
              <w:t>any eligible employees subject to automatic en</w:t>
            </w:r>
            <w:r w:rsidR="00F60992">
              <w:rPr>
                <w:rFonts w:cs="Arial"/>
                <w:szCs w:val="24"/>
              </w:rPr>
              <w:t>try</w:t>
            </w:r>
            <w:r w:rsidR="001F440F" w:rsidRPr="00E3079E">
              <w:rPr>
                <w:rFonts w:cs="Arial"/>
                <w:szCs w:val="24"/>
              </w:rPr>
              <w:t xml:space="preserve">, who opt out of the scheme within </w:t>
            </w:r>
            <w:r w:rsidR="00687343">
              <w:rPr>
                <w:rFonts w:cs="Arial"/>
                <w:szCs w:val="24"/>
              </w:rPr>
              <w:t>three months</w:t>
            </w:r>
            <w:r w:rsidR="001F440F" w:rsidRPr="00E3079E">
              <w:rPr>
                <w:rFonts w:cs="Arial"/>
                <w:szCs w:val="24"/>
              </w:rPr>
              <w:t xml:space="preserve"> of joining. </w:t>
            </w:r>
          </w:p>
          <w:p w14:paraId="53857A66" w14:textId="5CF59B7E" w:rsidR="00954351" w:rsidRPr="00E3079E" w:rsidRDefault="001B6E7D" w:rsidP="00E3079E">
            <w:pPr>
              <w:rPr>
                <w:szCs w:val="24"/>
              </w:rPr>
            </w:pPr>
            <w:r>
              <w:rPr>
                <w:rFonts w:cs="Arial"/>
                <w:szCs w:val="24"/>
              </w:rPr>
              <w:t>Process payroll refunds for these members.</w:t>
            </w:r>
          </w:p>
          <w:p w14:paraId="63B575A3" w14:textId="2C529DB4" w:rsidR="001F440F" w:rsidRPr="00E3079E" w:rsidRDefault="001F440F" w:rsidP="00316485">
            <w:pPr>
              <w:pStyle w:val="Default"/>
            </w:pPr>
            <w:r w:rsidRPr="00E3079E">
              <w:lastRenderedPageBreak/>
              <w:t xml:space="preserve">Where there is more than one contract of employment with the same employer, each membership shall be </w:t>
            </w:r>
            <w:r w:rsidR="00954351" w:rsidRPr="00E3079E">
              <w:t>treated separately for the purposes of the above.</w:t>
            </w:r>
            <w:r w:rsidRPr="00E3079E">
              <w:t xml:space="preserve"> </w:t>
            </w:r>
          </w:p>
        </w:tc>
        <w:tc>
          <w:tcPr>
            <w:tcW w:w="4940" w:type="dxa"/>
          </w:tcPr>
          <w:p w14:paraId="322F0161" w14:textId="4E69AE05" w:rsidR="00954351" w:rsidRPr="00E3079E" w:rsidRDefault="00954351" w:rsidP="00316485">
            <w:r w:rsidRPr="00E3079E">
              <w:lastRenderedPageBreak/>
              <w:t>Create accurate member records on the pensions administration system following notification of a new entrant to the scheme.</w:t>
            </w:r>
          </w:p>
          <w:p w14:paraId="5509C3D1" w14:textId="0A83D8D4" w:rsidR="00954351" w:rsidRPr="00E3079E" w:rsidRDefault="00DB7D6A" w:rsidP="00316485">
            <w:r w:rsidRPr="00E3079E">
              <w:t>Provide new members with confirmation of joining (</w:t>
            </w:r>
            <w:r w:rsidR="001F440F" w:rsidRPr="00E3079E">
              <w:rPr>
                <w:highlight w:val="yellow"/>
              </w:rPr>
              <w:t>within 8 weeks of notification</w:t>
            </w:r>
            <w:r w:rsidRPr="00E3079E">
              <w:t>).</w:t>
            </w:r>
          </w:p>
          <w:p w14:paraId="436EC80E" w14:textId="03AE2738" w:rsidR="006A30D3" w:rsidRPr="00E3079E" w:rsidRDefault="00DB7D6A">
            <w:pPr>
              <w:rPr>
                <w:rFonts w:cs="Arial"/>
                <w:szCs w:val="24"/>
              </w:rPr>
            </w:pPr>
            <w:r w:rsidRPr="00E3079E">
              <w:rPr>
                <w:rFonts w:cs="Arial"/>
                <w:szCs w:val="24"/>
              </w:rPr>
              <w:t>R</w:t>
            </w:r>
            <w:r w:rsidR="001F440F" w:rsidRPr="00E3079E">
              <w:rPr>
                <w:rFonts w:cs="Arial"/>
                <w:szCs w:val="24"/>
              </w:rPr>
              <w:t xml:space="preserve">ecord and update member </w:t>
            </w:r>
            <w:r w:rsidRPr="00E3079E">
              <w:rPr>
                <w:rFonts w:cs="Arial"/>
                <w:szCs w:val="24"/>
              </w:rPr>
              <w:t>data</w:t>
            </w:r>
            <w:r w:rsidR="001F440F" w:rsidRPr="00E3079E">
              <w:rPr>
                <w:rFonts w:cs="Arial"/>
                <w:szCs w:val="24"/>
              </w:rPr>
              <w:t xml:space="preserve"> on the pension administration system following the receipt of a completed </w:t>
            </w:r>
            <w:r w:rsidR="001922F3" w:rsidRPr="00E3079E">
              <w:rPr>
                <w:rFonts w:cs="Arial"/>
                <w:szCs w:val="24"/>
              </w:rPr>
              <w:t>n</w:t>
            </w:r>
            <w:r w:rsidR="001F440F" w:rsidRPr="00E3079E">
              <w:rPr>
                <w:rFonts w:cs="Arial"/>
                <w:szCs w:val="24"/>
              </w:rPr>
              <w:t xml:space="preserve">ew </w:t>
            </w:r>
            <w:r w:rsidR="001922F3" w:rsidRPr="00E3079E">
              <w:rPr>
                <w:rFonts w:cs="Arial"/>
                <w:szCs w:val="24"/>
              </w:rPr>
              <w:t>m</w:t>
            </w:r>
            <w:r w:rsidR="001F440F" w:rsidRPr="00E3079E">
              <w:rPr>
                <w:rFonts w:cs="Arial"/>
                <w:szCs w:val="24"/>
              </w:rPr>
              <w:t xml:space="preserve">ember </w:t>
            </w:r>
            <w:r w:rsidR="001922F3" w:rsidRPr="00E3079E">
              <w:rPr>
                <w:rFonts w:cs="Arial"/>
                <w:szCs w:val="24"/>
              </w:rPr>
              <w:t>f</w:t>
            </w:r>
            <w:r w:rsidR="001F440F" w:rsidRPr="00E3079E">
              <w:rPr>
                <w:rFonts w:cs="Arial"/>
                <w:szCs w:val="24"/>
              </w:rPr>
              <w:t xml:space="preserve">orm. </w:t>
            </w:r>
          </w:p>
        </w:tc>
      </w:tr>
    </w:tbl>
    <w:p w14:paraId="20BFF026" w14:textId="77777777" w:rsidR="00354793" w:rsidRDefault="00354793"/>
    <w:tbl>
      <w:tblPr>
        <w:tblStyle w:val="TableGrid"/>
        <w:tblW w:w="0" w:type="auto"/>
        <w:tblLook w:val="04A0" w:firstRow="1" w:lastRow="0" w:firstColumn="1" w:lastColumn="0" w:noHBand="0" w:noVBand="1"/>
      </w:tblPr>
      <w:tblGrid>
        <w:gridCol w:w="4940"/>
        <w:gridCol w:w="4940"/>
      </w:tblGrid>
      <w:tr w:rsidR="00BD6FD3" w14:paraId="04902E44" w14:textId="77777777" w:rsidTr="00345B63">
        <w:tc>
          <w:tcPr>
            <w:tcW w:w="4940" w:type="dxa"/>
            <w:shd w:val="clear" w:color="auto" w:fill="000000" w:themeFill="text1"/>
          </w:tcPr>
          <w:p w14:paraId="4522BEE8" w14:textId="723FA85D" w:rsidR="00BD6FD3" w:rsidRPr="00E3079E" w:rsidRDefault="00BD6FD3" w:rsidP="001922F3">
            <w:pPr>
              <w:pStyle w:val="Default"/>
            </w:pPr>
            <w:r w:rsidRPr="00E3079E">
              <w:rPr>
                <w:b/>
                <w:color w:val="FFFFFF" w:themeColor="background1"/>
              </w:rPr>
              <w:t xml:space="preserve">Function/ task: Change in circumstances </w:t>
            </w:r>
          </w:p>
        </w:tc>
        <w:tc>
          <w:tcPr>
            <w:tcW w:w="4940" w:type="dxa"/>
            <w:shd w:val="clear" w:color="auto" w:fill="000000" w:themeFill="text1"/>
          </w:tcPr>
          <w:p w14:paraId="76751414" w14:textId="0F2AE0D7" w:rsidR="00BD6FD3" w:rsidRPr="00E3079E" w:rsidRDefault="000E4F2C" w:rsidP="001922F3">
            <w:pPr>
              <w:pStyle w:val="Default"/>
            </w:pPr>
            <w:r w:rsidRPr="00E3079E">
              <w:rPr>
                <w:b/>
                <w:color w:val="FFFFFF" w:themeColor="background1"/>
              </w:rPr>
              <w:t>(active members)</w:t>
            </w:r>
          </w:p>
        </w:tc>
      </w:tr>
      <w:tr w:rsidR="001922F3" w14:paraId="52FA9493" w14:textId="77777777" w:rsidTr="006A30D3">
        <w:tc>
          <w:tcPr>
            <w:tcW w:w="4940" w:type="dxa"/>
          </w:tcPr>
          <w:p w14:paraId="383FA390" w14:textId="09E0A556" w:rsidR="001922F3" w:rsidRPr="00E3079E" w:rsidRDefault="001922F3" w:rsidP="001922F3">
            <w:pPr>
              <w:rPr>
                <w:rFonts w:cs="Arial"/>
                <w:szCs w:val="24"/>
              </w:rPr>
            </w:pPr>
            <w:r w:rsidRPr="00E3079E">
              <w:rPr>
                <w:rFonts w:cs="Arial"/>
                <w:b/>
                <w:szCs w:val="24"/>
              </w:rPr>
              <w:t>Employer responsibility</w:t>
            </w:r>
          </w:p>
        </w:tc>
        <w:tc>
          <w:tcPr>
            <w:tcW w:w="4940" w:type="dxa"/>
          </w:tcPr>
          <w:p w14:paraId="7C72963D" w14:textId="0A339C40" w:rsidR="001922F3" w:rsidRPr="00E3079E" w:rsidRDefault="001922F3" w:rsidP="001922F3">
            <w:pPr>
              <w:pStyle w:val="Default"/>
            </w:pPr>
            <w:r w:rsidRPr="00E3079E">
              <w:rPr>
                <w:b/>
              </w:rPr>
              <w:t>Administrator responsibility</w:t>
            </w:r>
          </w:p>
        </w:tc>
      </w:tr>
      <w:tr w:rsidR="001922F3" w14:paraId="337E1D55" w14:textId="77777777" w:rsidTr="006A30D3">
        <w:tc>
          <w:tcPr>
            <w:tcW w:w="4940" w:type="dxa"/>
          </w:tcPr>
          <w:p w14:paraId="28C15422" w14:textId="59542E22" w:rsidR="00756686" w:rsidRPr="00E3079E" w:rsidRDefault="001922F3" w:rsidP="001922F3">
            <w:pPr>
              <w:rPr>
                <w:rFonts w:cs="Arial"/>
                <w:szCs w:val="24"/>
              </w:rPr>
            </w:pPr>
            <w:r w:rsidRPr="00E3079E">
              <w:rPr>
                <w:rFonts w:cs="Arial"/>
                <w:szCs w:val="24"/>
              </w:rPr>
              <w:t>Inform the administrator of a</w:t>
            </w:r>
            <w:r w:rsidR="00756686" w:rsidRPr="00E3079E">
              <w:rPr>
                <w:rFonts w:cs="Arial"/>
                <w:szCs w:val="24"/>
              </w:rPr>
              <w:t xml:space="preserve">ll material changes in circumstance </w:t>
            </w:r>
            <w:r w:rsidRPr="00E3079E">
              <w:rPr>
                <w:rFonts w:cs="Arial"/>
                <w:szCs w:val="24"/>
              </w:rPr>
              <w:t>on the appropriate form/via electronic interface (</w:t>
            </w:r>
            <w:r w:rsidRPr="00E3079E">
              <w:rPr>
                <w:rFonts w:cs="Arial"/>
                <w:szCs w:val="24"/>
                <w:highlight w:val="yellow"/>
              </w:rPr>
              <w:t>within 4 weeks</w:t>
            </w:r>
            <w:r w:rsidR="00756686" w:rsidRPr="00E3079E">
              <w:rPr>
                <w:rFonts w:cs="Arial"/>
                <w:szCs w:val="24"/>
              </w:rPr>
              <w:t xml:space="preserve">/ </w:t>
            </w:r>
            <w:r w:rsidR="00756686" w:rsidRPr="00E3079E">
              <w:rPr>
                <w:rFonts w:cs="Arial"/>
                <w:szCs w:val="24"/>
                <w:highlight w:val="yellow"/>
              </w:rPr>
              <w:t>10 working days</w:t>
            </w:r>
            <w:r w:rsidRPr="00E3079E">
              <w:rPr>
                <w:rFonts w:cs="Arial"/>
                <w:szCs w:val="24"/>
              </w:rPr>
              <w:t>).</w:t>
            </w:r>
          </w:p>
          <w:p w14:paraId="64767051" w14:textId="3BE7ED94" w:rsidR="001922F3" w:rsidRPr="00E3079E" w:rsidRDefault="001922F3" w:rsidP="001922F3">
            <w:pPr>
              <w:rPr>
                <w:rFonts w:cs="Arial"/>
                <w:szCs w:val="24"/>
              </w:rPr>
            </w:pPr>
            <w:r w:rsidRPr="00E3079E">
              <w:rPr>
                <w:rFonts w:cs="Arial"/>
                <w:szCs w:val="24"/>
              </w:rPr>
              <w:t>Changes may include</w:t>
            </w:r>
          </w:p>
          <w:p w14:paraId="2EBFB00A" w14:textId="77777777" w:rsidR="001922F3" w:rsidRPr="00E3079E" w:rsidRDefault="001922F3" w:rsidP="001922F3">
            <w:pPr>
              <w:rPr>
                <w:rFonts w:cs="Arial"/>
                <w:b/>
                <w:szCs w:val="24"/>
              </w:rPr>
            </w:pPr>
            <w:r w:rsidRPr="00E3079E">
              <w:rPr>
                <w:rFonts w:cs="Arial"/>
                <w:b/>
                <w:szCs w:val="24"/>
              </w:rPr>
              <w:t>Personal information:</w:t>
            </w:r>
          </w:p>
          <w:p w14:paraId="0AD13698" w14:textId="5672D091" w:rsidR="001922F3" w:rsidRPr="00E3079E" w:rsidRDefault="001922F3" w:rsidP="00E3079E">
            <w:pPr>
              <w:pStyle w:val="ListParagraph"/>
              <w:numPr>
                <w:ilvl w:val="0"/>
                <w:numId w:val="11"/>
              </w:numPr>
              <w:rPr>
                <w:rFonts w:cs="Arial"/>
                <w:szCs w:val="24"/>
              </w:rPr>
            </w:pPr>
            <w:r w:rsidRPr="00E3079E">
              <w:rPr>
                <w:rFonts w:cs="Arial"/>
                <w:szCs w:val="24"/>
              </w:rPr>
              <w:t>Change of name or address</w:t>
            </w:r>
          </w:p>
          <w:p w14:paraId="17281939" w14:textId="23532E61" w:rsidR="001922F3" w:rsidRPr="00E3079E" w:rsidRDefault="001922F3" w:rsidP="00E3079E">
            <w:pPr>
              <w:pStyle w:val="ListParagraph"/>
              <w:numPr>
                <w:ilvl w:val="0"/>
                <w:numId w:val="11"/>
              </w:numPr>
              <w:rPr>
                <w:rFonts w:cs="Arial"/>
                <w:szCs w:val="24"/>
              </w:rPr>
            </w:pPr>
            <w:r w:rsidRPr="00E3079E">
              <w:rPr>
                <w:rFonts w:cs="Arial"/>
                <w:szCs w:val="24"/>
              </w:rPr>
              <w:t>Marital status</w:t>
            </w:r>
          </w:p>
          <w:p w14:paraId="785C556D" w14:textId="3EA3EB69" w:rsidR="001922F3" w:rsidRPr="00E3079E" w:rsidRDefault="001922F3" w:rsidP="001922F3">
            <w:pPr>
              <w:pStyle w:val="ListParagraph"/>
              <w:numPr>
                <w:ilvl w:val="0"/>
                <w:numId w:val="11"/>
              </w:numPr>
              <w:rPr>
                <w:rFonts w:cs="Arial"/>
                <w:szCs w:val="24"/>
              </w:rPr>
            </w:pPr>
            <w:r w:rsidRPr="00E3079E">
              <w:rPr>
                <w:rFonts w:cs="Arial"/>
                <w:szCs w:val="24"/>
              </w:rPr>
              <w:t>National insurance number</w:t>
            </w:r>
          </w:p>
          <w:p w14:paraId="7E02C007" w14:textId="0DB83288" w:rsidR="001922F3" w:rsidRPr="00E3079E" w:rsidRDefault="001922F3" w:rsidP="001922F3">
            <w:pPr>
              <w:rPr>
                <w:rFonts w:cs="Arial"/>
                <w:b/>
                <w:szCs w:val="24"/>
              </w:rPr>
            </w:pPr>
            <w:r w:rsidRPr="00E3079E">
              <w:rPr>
                <w:rFonts w:cs="Arial"/>
                <w:b/>
                <w:szCs w:val="24"/>
              </w:rPr>
              <w:t>Conditions of employment affecting pension such as:</w:t>
            </w:r>
          </w:p>
          <w:p w14:paraId="6E773570" w14:textId="5BF995D0" w:rsidR="001922F3" w:rsidRPr="00E3079E" w:rsidRDefault="001922F3" w:rsidP="00E3079E">
            <w:pPr>
              <w:pStyle w:val="ListParagraph"/>
              <w:numPr>
                <w:ilvl w:val="0"/>
                <w:numId w:val="15"/>
              </w:numPr>
              <w:rPr>
                <w:rFonts w:cs="Arial"/>
                <w:szCs w:val="24"/>
              </w:rPr>
            </w:pPr>
            <w:r w:rsidRPr="00E3079E">
              <w:rPr>
                <w:rFonts w:cs="Arial"/>
                <w:szCs w:val="24"/>
              </w:rPr>
              <w:t>Contractual hours</w:t>
            </w:r>
          </w:p>
          <w:p w14:paraId="10F5279B" w14:textId="38DC069A" w:rsidR="001922F3" w:rsidRPr="00E3079E" w:rsidRDefault="001922F3" w:rsidP="00E3079E">
            <w:pPr>
              <w:pStyle w:val="ListParagraph"/>
              <w:numPr>
                <w:ilvl w:val="0"/>
                <w:numId w:val="15"/>
              </w:numPr>
              <w:rPr>
                <w:rFonts w:cs="Arial"/>
                <w:szCs w:val="24"/>
              </w:rPr>
            </w:pPr>
            <w:r w:rsidRPr="00E3079E">
              <w:rPr>
                <w:rFonts w:cs="Arial"/>
                <w:szCs w:val="24"/>
              </w:rPr>
              <w:t>Changes in pay</w:t>
            </w:r>
          </w:p>
          <w:p w14:paraId="6BF60F0B" w14:textId="55B8F119" w:rsidR="001922F3" w:rsidRPr="00E3079E" w:rsidRDefault="001922F3" w:rsidP="00E3079E">
            <w:pPr>
              <w:pStyle w:val="ListParagraph"/>
              <w:numPr>
                <w:ilvl w:val="0"/>
                <w:numId w:val="15"/>
              </w:numPr>
              <w:rPr>
                <w:rFonts w:cs="Arial"/>
                <w:szCs w:val="24"/>
              </w:rPr>
            </w:pPr>
            <w:r w:rsidRPr="00E3079E">
              <w:rPr>
                <w:rFonts w:cs="Arial"/>
                <w:szCs w:val="24"/>
              </w:rPr>
              <w:t>Contribution rate</w:t>
            </w:r>
          </w:p>
          <w:p w14:paraId="33063F06" w14:textId="48137912" w:rsidR="001922F3" w:rsidRPr="00E3079E" w:rsidRDefault="001922F3" w:rsidP="00E3079E">
            <w:pPr>
              <w:pStyle w:val="ListParagraph"/>
              <w:numPr>
                <w:ilvl w:val="0"/>
                <w:numId w:val="15"/>
              </w:numPr>
              <w:rPr>
                <w:rFonts w:cs="Arial"/>
                <w:szCs w:val="24"/>
              </w:rPr>
            </w:pPr>
            <w:r w:rsidRPr="00E3079E">
              <w:rPr>
                <w:rFonts w:cs="Arial"/>
                <w:szCs w:val="24"/>
              </w:rPr>
              <w:t>Periods of reduced pay or unpaid absence</w:t>
            </w:r>
          </w:p>
          <w:p w14:paraId="4B74CF7D" w14:textId="77777777" w:rsidR="00685623" w:rsidRDefault="001922F3" w:rsidP="00685623">
            <w:pPr>
              <w:rPr>
                <w:rFonts w:cs="Arial"/>
                <w:szCs w:val="24"/>
              </w:rPr>
            </w:pPr>
            <w:r w:rsidRPr="00E3079E">
              <w:rPr>
                <w:rFonts w:cs="Arial"/>
                <w:szCs w:val="24"/>
              </w:rPr>
              <w:t>During periods of reduced or nil pay as a result of sickness, injury or relevant child related leave (</w:t>
            </w:r>
            <w:proofErr w:type="gramStart"/>
            <w:r w:rsidRPr="00E3079E">
              <w:rPr>
                <w:rFonts w:cs="Arial"/>
                <w:szCs w:val="24"/>
              </w:rPr>
              <w:t>i.e.</w:t>
            </w:r>
            <w:proofErr w:type="gramEnd"/>
            <w:r w:rsidRPr="00E3079E">
              <w:rPr>
                <w:rFonts w:cs="Arial"/>
                <w:szCs w:val="24"/>
              </w:rPr>
              <w:t xml:space="preserve"> ordinary maternity, paternity or adoption leave or paid shared parental leave and any paid additional maternity or adoption leave) assumed pensionable pay should be applied for pension purposes.</w:t>
            </w:r>
          </w:p>
          <w:p w14:paraId="2D07E9F8" w14:textId="377981C9" w:rsidR="009C4F8B" w:rsidRDefault="009C4F8B" w:rsidP="00316485">
            <w:pPr>
              <w:rPr>
                <w:rFonts w:cs="Arial"/>
                <w:szCs w:val="24"/>
              </w:rPr>
            </w:pPr>
            <w:r w:rsidRPr="00316485">
              <w:rPr>
                <w:rFonts w:cs="Arial"/>
                <w:b/>
                <w:bCs/>
                <w:szCs w:val="24"/>
              </w:rPr>
              <w:t>N.B</w:t>
            </w:r>
            <w:r w:rsidR="00194D75">
              <w:rPr>
                <w:rFonts w:cs="Arial"/>
                <w:szCs w:val="24"/>
              </w:rPr>
              <w:t>.</w:t>
            </w:r>
            <w:r>
              <w:rPr>
                <w:rFonts w:cs="Arial"/>
                <w:szCs w:val="24"/>
              </w:rPr>
              <w:t xml:space="preserve"> </w:t>
            </w:r>
            <w:r w:rsidR="00703FD0">
              <w:rPr>
                <w:rFonts w:cs="Arial"/>
                <w:szCs w:val="24"/>
              </w:rPr>
              <w:t xml:space="preserve">As an increase in pay </w:t>
            </w:r>
            <w:r w:rsidR="00194D75">
              <w:rPr>
                <w:rFonts w:cs="Arial"/>
                <w:szCs w:val="24"/>
              </w:rPr>
              <w:t xml:space="preserve">may </w:t>
            </w:r>
            <w:r w:rsidR="001C2CE3">
              <w:rPr>
                <w:rFonts w:cs="Arial"/>
                <w:szCs w:val="24"/>
              </w:rPr>
              <w:t>cause a member to exceed their Annual Allowance, the administrator must be informed of:</w:t>
            </w:r>
          </w:p>
          <w:p w14:paraId="22FF1079" w14:textId="0BA38A56" w:rsidR="001C2CE3" w:rsidRDefault="001C2CE3" w:rsidP="001C2CE3">
            <w:pPr>
              <w:pStyle w:val="ListParagraph"/>
              <w:keepNext/>
              <w:numPr>
                <w:ilvl w:val="0"/>
                <w:numId w:val="24"/>
              </w:numPr>
              <w:suppressAutoHyphens/>
              <w:ind w:right="57"/>
              <w:rPr>
                <w:rFonts w:cs="Arial"/>
                <w:szCs w:val="24"/>
              </w:rPr>
            </w:pPr>
            <w:r>
              <w:rPr>
                <w:rFonts w:cs="Arial"/>
                <w:szCs w:val="24"/>
              </w:rPr>
              <w:t>Promotions</w:t>
            </w:r>
          </w:p>
          <w:p w14:paraId="1BFEC60F" w14:textId="0727ED1D" w:rsidR="001C2CE3" w:rsidRPr="007B48EA" w:rsidRDefault="001C2CE3" w:rsidP="00316485">
            <w:pPr>
              <w:pStyle w:val="ListParagraph"/>
              <w:keepNext/>
              <w:numPr>
                <w:ilvl w:val="0"/>
                <w:numId w:val="24"/>
              </w:numPr>
              <w:suppressAutoHyphens/>
              <w:ind w:right="57"/>
              <w:rPr>
                <w:rFonts w:cs="Arial"/>
                <w:szCs w:val="24"/>
              </w:rPr>
            </w:pPr>
            <w:r>
              <w:rPr>
                <w:rFonts w:cs="Arial"/>
                <w:szCs w:val="24"/>
              </w:rPr>
              <w:t>Additional allowances</w:t>
            </w:r>
          </w:p>
          <w:p w14:paraId="166C23C1" w14:textId="27427884" w:rsidR="001922F3" w:rsidRPr="00E3079E" w:rsidRDefault="001922F3" w:rsidP="001922F3">
            <w:pPr>
              <w:rPr>
                <w:rFonts w:cs="Arial"/>
                <w:szCs w:val="24"/>
              </w:rPr>
            </w:pPr>
          </w:p>
        </w:tc>
        <w:tc>
          <w:tcPr>
            <w:tcW w:w="4940" w:type="dxa"/>
          </w:tcPr>
          <w:p w14:paraId="4DA44F2C" w14:textId="061C8D77" w:rsidR="001922F3" w:rsidRPr="00E3079E" w:rsidRDefault="00EB2635" w:rsidP="001922F3">
            <w:pPr>
              <w:pStyle w:val="Default"/>
            </w:pPr>
            <w:r w:rsidRPr="00E3079E">
              <w:t>Accurately update member records on the pensions administration system.</w:t>
            </w:r>
          </w:p>
        </w:tc>
      </w:tr>
    </w:tbl>
    <w:p w14:paraId="7E6C9521" w14:textId="77777777" w:rsidR="00354793" w:rsidRDefault="00354793"/>
    <w:tbl>
      <w:tblPr>
        <w:tblStyle w:val="TableGrid"/>
        <w:tblW w:w="0" w:type="auto"/>
        <w:tblLook w:val="04A0" w:firstRow="1" w:lastRow="0" w:firstColumn="1" w:lastColumn="0" w:noHBand="0" w:noVBand="1"/>
      </w:tblPr>
      <w:tblGrid>
        <w:gridCol w:w="4940"/>
        <w:gridCol w:w="4940"/>
      </w:tblGrid>
      <w:tr w:rsidR="000E4F2C" w14:paraId="4597E0E5" w14:textId="77777777" w:rsidTr="004813ED">
        <w:tc>
          <w:tcPr>
            <w:tcW w:w="4940" w:type="dxa"/>
            <w:shd w:val="clear" w:color="auto" w:fill="000000" w:themeFill="text1"/>
          </w:tcPr>
          <w:p w14:paraId="10360DBF" w14:textId="3EEB7911" w:rsidR="000E4F2C" w:rsidRPr="00E3079E" w:rsidRDefault="000E4F2C" w:rsidP="000C5859">
            <w:pPr>
              <w:pStyle w:val="Default"/>
            </w:pPr>
            <w:r w:rsidRPr="00E3079E">
              <w:rPr>
                <w:b/>
                <w:color w:val="FFFFFF" w:themeColor="background1"/>
              </w:rPr>
              <w:lastRenderedPageBreak/>
              <w:t xml:space="preserve">Function/ task: Annual return, Valuation, </w:t>
            </w:r>
          </w:p>
        </w:tc>
        <w:tc>
          <w:tcPr>
            <w:tcW w:w="4940" w:type="dxa"/>
            <w:shd w:val="clear" w:color="auto" w:fill="000000" w:themeFill="text1"/>
          </w:tcPr>
          <w:p w14:paraId="2D9B9B0C" w14:textId="6A904FEC" w:rsidR="000E4F2C" w:rsidRPr="00E3079E" w:rsidRDefault="000E4F2C" w:rsidP="000C5859">
            <w:pPr>
              <w:pStyle w:val="Default"/>
            </w:pPr>
            <w:r w:rsidRPr="00E3079E">
              <w:rPr>
                <w:b/>
                <w:color w:val="FFFFFF" w:themeColor="background1"/>
              </w:rPr>
              <w:t>Annual Benefit Statements (ABS)</w:t>
            </w:r>
          </w:p>
        </w:tc>
      </w:tr>
      <w:tr w:rsidR="000C5859" w14:paraId="3711695B" w14:textId="77777777" w:rsidTr="006A30D3">
        <w:tc>
          <w:tcPr>
            <w:tcW w:w="4940" w:type="dxa"/>
          </w:tcPr>
          <w:p w14:paraId="68F4F6CB" w14:textId="29922675" w:rsidR="000C5859" w:rsidRPr="00E3079E" w:rsidRDefault="000C5859" w:rsidP="00E3079E">
            <w:pPr>
              <w:pStyle w:val="Default"/>
            </w:pPr>
            <w:r w:rsidRPr="00E3079E">
              <w:rPr>
                <w:b/>
              </w:rPr>
              <w:t>Employer responsibility</w:t>
            </w:r>
          </w:p>
        </w:tc>
        <w:tc>
          <w:tcPr>
            <w:tcW w:w="4940" w:type="dxa"/>
          </w:tcPr>
          <w:p w14:paraId="18ACC515" w14:textId="66DA1A03" w:rsidR="000C5859" w:rsidRPr="00E3079E" w:rsidRDefault="000C5859" w:rsidP="000C5859">
            <w:pPr>
              <w:pStyle w:val="Default"/>
            </w:pPr>
            <w:r w:rsidRPr="00E3079E">
              <w:rPr>
                <w:b/>
              </w:rPr>
              <w:t>Administrator responsibility</w:t>
            </w:r>
          </w:p>
        </w:tc>
      </w:tr>
      <w:tr w:rsidR="000C5859" w14:paraId="3DA1746E" w14:textId="77777777" w:rsidTr="006A30D3">
        <w:tc>
          <w:tcPr>
            <w:tcW w:w="4940" w:type="dxa"/>
          </w:tcPr>
          <w:p w14:paraId="2483A9C5" w14:textId="486FA58E" w:rsidR="000C5859" w:rsidRPr="00E3079E" w:rsidRDefault="000C5859" w:rsidP="00316485">
            <w:r w:rsidRPr="00E3079E">
              <w:t>Ensure the administrator receives accurate year to date information to 31 March by [</w:t>
            </w:r>
            <w:r w:rsidRPr="00E3079E">
              <w:rPr>
                <w:highlight w:val="yellow"/>
              </w:rPr>
              <w:t>INSERT DEADLINE</w:t>
            </w:r>
            <w:r w:rsidRPr="00E3079E">
              <w:t>].</w:t>
            </w:r>
          </w:p>
          <w:p w14:paraId="5D0DE5C7" w14:textId="1EE18460" w:rsidR="00EC7B03" w:rsidRPr="00685623" w:rsidRDefault="00EC7B03" w:rsidP="00316485">
            <w:r>
              <w:t>P</w:t>
            </w:r>
            <w:r w:rsidRPr="00316485">
              <w:rPr>
                <w:rFonts w:cs="Arial"/>
                <w:color w:val="000000"/>
                <w:szCs w:val="24"/>
              </w:rPr>
              <w:t xml:space="preserve">rovide the </w:t>
            </w:r>
            <w:r>
              <w:t xml:space="preserve">administrator </w:t>
            </w:r>
            <w:r w:rsidRPr="00316485">
              <w:rPr>
                <w:rFonts w:cs="Arial"/>
                <w:color w:val="000000"/>
                <w:szCs w:val="24"/>
              </w:rPr>
              <w:t>with details of all CPD, temporary payments deemed pensionable and details of any temporary promotions from 1 July previous year to 30</w:t>
            </w:r>
            <w:r>
              <w:t xml:space="preserve"> </w:t>
            </w:r>
            <w:r w:rsidRPr="00316485">
              <w:rPr>
                <w:rFonts w:cs="Arial"/>
                <w:color w:val="000000"/>
                <w:szCs w:val="24"/>
              </w:rPr>
              <w:t xml:space="preserve">June current year by </w:t>
            </w:r>
            <w:r w:rsidRPr="00E3079E">
              <w:t>[</w:t>
            </w:r>
            <w:r w:rsidRPr="00E3079E">
              <w:rPr>
                <w:highlight w:val="yellow"/>
              </w:rPr>
              <w:t>INSERT DEADLINE</w:t>
            </w:r>
            <w:r w:rsidRPr="00E3079E">
              <w:t>]</w:t>
            </w:r>
            <w:r w:rsidRPr="00316485">
              <w:rPr>
                <w:rFonts w:cs="Arial"/>
                <w:color w:val="000000"/>
                <w:szCs w:val="24"/>
              </w:rPr>
              <w:t xml:space="preserve">, to enable </w:t>
            </w:r>
            <w:r>
              <w:t xml:space="preserve">the </w:t>
            </w:r>
            <w:r w:rsidRPr="00316485">
              <w:rPr>
                <w:rFonts w:cs="Arial"/>
                <w:color w:val="000000"/>
                <w:szCs w:val="24"/>
              </w:rPr>
              <w:t>appropriate APB to be calculated and awarded.</w:t>
            </w:r>
          </w:p>
          <w:p w14:paraId="76B62F20" w14:textId="1C15FEEC" w:rsidR="000C5859" w:rsidRPr="00E3079E" w:rsidRDefault="00EC7B03" w:rsidP="00316485">
            <w:r w:rsidRPr="00E3079E">
              <w:t>Provide any additional information that may be requested to produce ABS for service up until the 31 March in each particular year by [</w:t>
            </w:r>
            <w:r w:rsidRPr="00E3079E">
              <w:rPr>
                <w:highlight w:val="yellow"/>
              </w:rPr>
              <w:t>INSERT DEADLINE</w:t>
            </w:r>
            <w:r w:rsidRPr="00E3079E">
              <w:t>].</w:t>
            </w:r>
          </w:p>
          <w:p w14:paraId="6CF1FB43" w14:textId="35035C1B" w:rsidR="000C5859" w:rsidRPr="00E3079E" w:rsidRDefault="000C5859" w:rsidP="00316485">
            <w:r w:rsidRPr="00E3079E">
              <w:t>Provide the administrator with up to date and correct information as and when requested in accordance with agreed timescales and the regulations.</w:t>
            </w:r>
          </w:p>
          <w:p w14:paraId="78296793" w14:textId="77777777" w:rsidR="000C5859" w:rsidRDefault="000C5859" w:rsidP="007B48EA">
            <w:pPr>
              <w:pStyle w:val="Default"/>
            </w:pPr>
            <w:r w:rsidRPr="00E3079E">
              <w:t>Ensure that all errors highlighted from the annual contribution and pensionable pay posting exercise are responded to and corrective action taken promptly.</w:t>
            </w:r>
          </w:p>
          <w:p w14:paraId="6D408CF2" w14:textId="77777777" w:rsidR="00601E8C" w:rsidRDefault="00601E8C" w:rsidP="007B48EA">
            <w:pPr>
              <w:pStyle w:val="Default"/>
            </w:pPr>
          </w:p>
          <w:p w14:paraId="6FE790E4" w14:textId="606C158D" w:rsidR="00601E8C" w:rsidRPr="00E3079E" w:rsidRDefault="00601E8C" w:rsidP="007B48EA">
            <w:pPr>
              <w:pStyle w:val="Default"/>
            </w:pPr>
            <w:r w:rsidRPr="00601E8C">
              <w:t>Completion of GAD information for IAS19 purposes</w:t>
            </w:r>
          </w:p>
        </w:tc>
        <w:tc>
          <w:tcPr>
            <w:tcW w:w="4940" w:type="dxa"/>
          </w:tcPr>
          <w:p w14:paraId="79EA3DD1" w14:textId="35AA2E66" w:rsidR="000C5859" w:rsidRPr="00E3079E" w:rsidRDefault="000C5859" w:rsidP="00316485">
            <w:r w:rsidRPr="00E3079E">
              <w:t>Process employer year end returns within [</w:t>
            </w:r>
            <w:r w:rsidRPr="00E3079E">
              <w:rPr>
                <w:highlight w:val="yellow"/>
              </w:rPr>
              <w:t>INSERT DEADLINE</w:t>
            </w:r>
            <w:r w:rsidRPr="00E3079E">
              <w:t>].</w:t>
            </w:r>
          </w:p>
          <w:p w14:paraId="6E9D7286" w14:textId="76481E8D" w:rsidR="000C5859" w:rsidRPr="00E3079E" w:rsidRDefault="000C5859" w:rsidP="00316485">
            <w:r w:rsidRPr="00E3079E">
              <w:t>Produce ABS for all active members by 31 August.</w:t>
            </w:r>
          </w:p>
          <w:p w14:paraId="59B88B64" w14:textId="30CE3EC0" w:rsidR="000C5859" w:rsidRPr="00E3079E" w:rsidRDefault="000C5859" w:rsidP="00316485">
            <w:r w:rsidRPr="00E3079E">
              <w:t xml:space="preserve">Highlight if an individual has exceeded their annual allowance and issue a </w:t>
            </w:r>
            <w:proofErr w:type="gramStart"/>
            <w:r w:rsidRPr="00E3079E">
              <w:t>pensions</w:t>
            </w:r>
            <w:proofErr w:type="gramEnd"/>
            <w:r w:rsidRPr="00E3079E">
              <w:t xml:space="preserve"> saving statement by </w:t>
            </w:r>
            <w:r w:rsidR="00661C05">
              <w:t>6</w:t>
            </w:r>
            <w:r w:rsidRPr="00E3079E">
              <w:t xml:space="preserve"> October.</w:t>
            </w:r>
          </w:p>
          <w:p w14:paraId="571E8765" w14:textId="669305BC" w:rsidR="000C5859" w:rsidRPr="00E3079E" w:rsidRDefault="000C5859" w:rsidP="00316485">
            <w:r w:rsidRPr="00E3079E">
              <w:t>Produce ABS for all deferred members by [</w:t>
            </w:r>
            <w:r w:rsidRPr="00E3079E">
              <w:rPr>
                <w:highlight w:val="yellow"/>
              </w:rPr>
              <w:t>INSERT DEADLINE</w:t>
            </w:r>
            <w:r w:rsidRPr="00E3079E">
              <w:t>] (no information from employers is required).</w:t>
            </w:r>
          </w:p>
          <w:p w14:paraId="25998918" w14:textId="77777777" w:rsidR="000C5859" w:rsidRDefault="00041CBD" w:rsidP="000C5859">
            <w:pPr>
              <w:pStyle w:val="Default"/>
            </w:pPr>
            <w:r w:rsidRPr="00E3079E">
              <w:t>P</w:t>
            </w:r>
            <w:r w:rsidR="000C5859" w:rsidRPr="00E3079E">
              <w:t xml:space="preserve">rovide data to the scheme actuary to </w:t>
            </w:r>
            <w:r w:rsidRPr="00E3079E">
              <w:t>carry out the 4-year valuation of the scheme</w:t>
            </w:r>
            <w:r w:rsidR="00601E8C">
              <w:t>.</w:t>
            </w:r>
          </w:p>
          <w:p w14:paraId="194A1D8B" w14:textId="77777777" w:rsidR="00601E8C" w:rsidRDefault="00601E8C" w:rsidP="000C5859">
            <w:pPr>
              <w:pStyle w:val="Default"/>
            </w:pPr>
          </w:p>
          <w:p w14:paraId="21AE7A95" w14:textId="4B5C195D" w:rsidR="00601E8C" w:rsidRPr="00E3079E" w:rsidRDefault="00601E8C" w:rsidP="000C5859">
            <w:pPr>
              <w:pStyle w:val="Default"/>
              <w:rPr>
                <w:b/>
              </w:rPr>
            </w:pPr>
            <w:r w:rsidRPr="00601E8C">
              <w:t>Completion of GAD information for IAS19 purposes</w:t>
            </w:r>
          </w:p>
        </w:tc>
      </w:tr>
    </w:tbl>
    <w:p w14:paraId="26A1FD17" w14:textId="6A9C070E" w:rsidR="00354793" w:rsidRDefault="00354793"/>
    <w:p w14:paraId="7EC7935A" w14:textId="77777777" w:rsidR="0075447F" w:rsidRDefault="0075447F"/>
    <w:tbl>
      <w:tblPr>
        <w:tblStyle w:val="TableGrid"/>
        <w:tblW w:w="0" w:type="auto"/>
        <w:tblLook w:val="04A0" w:firstRow="1" w:lastRow="0" w:firstColumn="1" w:lastColumn="0" w:noHBand="0" w:noVBand="1"/>
      </w:tblPr>
      <w:tblGrid>
        <w:gridCol w:w="4940"/>
        <w:gridCol w:w="4940"/>
      </w:tblGrid>
      <w:tr w:rsidR="000E4F2C" w14:paraId="67936553" w14:textId="77777777" w:rsidTr="00CA644E">
        <w:tc>
          <w:tcPr>
            <w:tcW w:w="4940" w:type="dxa"/>
            <w:shd w:val="clear" w:color="auto" w:fill="000000" w:themeFill="text1"/>
          </w:tcPr>
          <w:p w14:paraId="0663D8B8" w14:textId="4C80557E" w:rsidR="000E4F2C" w:rsidRPr="00E3079E" w:rsidRDefault="000E4F2C" w:rsidP="004008F2">
            <w:pPr>
              <w:pStyle w:val="Default"/>
            </w:pPr>
            <w:r w:rsidRPr="00E3079E">
              <w:rPr>
                <w:b/>
                <w:color w:val="FFFFFF" w:themeColor="background1"/>
              </w:rPr>
              <w:t xml:space="preserve">Function/ task: Estimates </w:t>
            </w:r>
          </w:p>
        </w:tc>
        <w:tc>
          <w:tcPr>
            <w:tcW w:w="4940" w:type="dxa"/>
            <w:shd w:val="clear" w:color="auto" w:fill="000000" w:themeFill="text1"/>
          </w:tcPr>
          <w:p w14:paraId="64212B9F" w14:textId="725CAA6F" w:rsidR="000E4F2C" w:rsidRPr="00E3079E" w:rsidRDefault="000E4F2C" w:rsidP="004008F2">
            <w:pPr>
              <w:pStyle w:val="Default"/>
            </w:pPr>
            <w:r w:rsidRPr="00E3079E">
              <w:rPr>
                <w:b/>
                <w:color w:val="FFFFFF" w:themeColor="background1"/>
              </w:rPr>
              <w:t>(Retirements/ Transfers)</w:t>
            </w:r>
          </w:p>
        </w:tc>
      </w:tr>
      <w:tr w:rsidR="00EA4993" w14:paraId="7348B6CA" w14:textId="77777777" w:rsidTr="004008F2">
        <w:tc>
          <w:tcPr>
            <w:tcW w:w="4940" w:type="dxa"/>
          </w:tcPr>
          <w:p w14:paraId="1CA32268" w14:textId="77777777" w:rsidR="00EA4993" w:rsidRPr="00E3079E" w:rsidRDefault="00EA4993" w:rsidP="004008F2">
            <w:pPr>
              <w:pStyle w:val="Default"/>
            </w:pPr>
            <w:r w:rsidRPr="00E3079E">
              <w:rPr>
                <w:b/>
              </w:rPr>
              <w:t>Employer responsibility</w:t>
            </w:r>
          </w:p>
        </w:tc>
        <w:tc>
          <w:tcPr>
            <w:tcW w:w="4940" w:type="dxa"/>
          </w:tcPr>
          <w:p w14:paraId="396BAFEC" w14:textId="77777777" w:rsidR="00EA4993" w:rsidRPr="00E3079E" w:rsidRDefault="00EA4993" w:rsidP="004008F2">
            <w:pPr>
              <w:pStyle w:val="Default"/>
            </w:pPr>
            <w:r w:rsidRPr="00E3079E">
              <w:rPr>
                <w:b/>
              </w:rPr>
              <w:t>Administrator responsibility</w:t>
            </w:r>
          </w:p>
        </w:tc>
      </w:tr>
      <w:tr w:rsidR="00EA4993" w14:paraId="3C012C98" w14:textId="77777777" w:rsidTr="004008F2">
        <w:tc>
          <w:tcPr>
            <w:tcW w:w="4940" w:type="dxa"/>
          </w:tcPr>
          <w:p w14:paraId="12D655D8" w14:textId="667FCFE0" w:rsidR="00960B06" w:rsidRPr="00E3079E" w:rsidRDefault="00EA4993" w:rsidP="00316485">
            <w:r w:rsidRPr="00E3079E">
              <w:t>Determine reason for estimate and provide fully completed request including pay and other relevant information to the administrator.</w:t>
            </w:r>
          </w:p>
          <w:p w14:paraId="35BDC575" w14:textId="780CCE59" w:rsidR="00EA4993" w:rsidRPr="00E3079E" w:rsidRDefault="0036249C" w:rsidP="00316485">
            <w:r w:rsidRPr="00E3079E">
              <w:t>Direct members to any</w:t>
            </w:r>
            <w:r w:rsidR="00444681" w:rsidRPr="00E3079E">
              <w:t xml:space="preserve"> available</w:t>
            </w:r>
            <w:r w:rsidRPr="00E3079E">
              <w:t xml:space="preserve"> online self-service </w:t>
            </w:r>
            <w:r w:rsidR="00444681" w:rsidRPr="00E3079E">
              <w:t>facility.</w:t>
            </w:r>
          </w:p>
        </w:tc>
        <w:tc>
          <w:tcPr>
            <w:tcW w:w="4940" w:type="dxa"/>
          </w:tcPr>
          <w:p w14:paraId="6CBE9F64" w14:textId="778D168A" w:rsidR="00EA4993" w:rsidRPr="00E3079E" w:rsidRDefault="00EA4993" w:rsidP="00316485">
            <w:r w:rsidRPr="00E3079E">
              <w:t>Issue individual quotations/information after all information required to process a quotation has been received.</w:t>
            </w:r>
          </w:p>
          <w:p w14:paraId="14145603" w14:textId="1FFDCD67" w:rsidR="006F4267" w:rsidRPr="00E3079E" w:rsidRDefault="002E19EE" w:rsidP="00316485">
            <w:r>
              <w:t>P</w:t>
            </w:r>
            <w:r w:rsidR="00EA4993" w:rsidRPr="00E3079E">
              <w:t>rovide information to the scheme member on any potential transfer in of benefits once all information required to process the quotation has been received (transfer estimate from other pension provider, contracting out, salary details etc).</w:t>
            </w:r>
          </w:p>
          <w:p w14:paraId="4C4CDE83" w14:textId="725E6AFF" w:rsidR="000C6BE4" w:rsidRPr="00E3079E" w:rsidRDefault="002E4847" w:rsidP="004008F2">
            <w:pPr>
              <w:pStyle w:val="Default"/>
            </w:pPr>
            <w:r w:rsidRPr="00E3079E">
              <w:t>Maintain and promote any available self-service facility</w:t>
            </w:r>
            <w:r w:rsidR="00E456E4" w:rsidRPr="00E3079E">
              <w:t xml:space="preserve"> which allows members to view their pension information online</w:t>
            </w:r>
            <w:r w:rsidRPr="00E3079E">
              <w:t>.</w:t>
            </w:r>
          </w:p>
        </w:tc>
      </w:tr>
      <w:tr w:rsidR="004F2AA8" w14:paraId="2C6CFC76" w14:textId="77777777" w:rsidTr="008F1EF2">
        <w:tc>
          <w:tcPr>
            <w:tcW w:w="4940" w:type="dxa"/>
            <w:shd w:val="clear" w:color="auto" w:fill="000000" w:themeFill="text1"/>
          </w:tcPr>
          <w:p w14:paraId="5DB915F8" w14:textId="77777777" w:rsidR="004F2AA8" w:rsidRPr="00E3079E" w:rsidRDefault="004F2AA8" w:rsidP="00E54B22">
            <w:pPr>
              <w:pStyle w:val="Default"/>
            </w:pPr>
            <w:r w:rsidRPr="00E3079E">
              <w:rPr>
                <w:b/>
                <w:color w:val="FFFFFF" w:themeColor="background1"/>
              </w:rPr>
              <w:lastRenderedPageBreak/>
              <w:t>Function/ task: Estimates (Divorce)</w:t>
            </w:r>
          </w:p>
        </w:tc>
        <w:tc>
          <w:tcPr>
            <w:tcW w:w="4940" w:type="dxa"/>
            <w:shd w:val="clear" w:color="auto" w:fill="000000" w:themeFill="text1"/>
          </w:tcPr>
          <w:p w14:paraId="21F418ED" w14:textId="539A3391" w:rsidR="004F2AA8" w:rsidRPr="00E3079E" w:rsidRDefault="004F2AA8" w:rsidP="00E54B22">
            <w:pPr>
              <w:pStyle w:val="Default"/>
            </w:pPr>
          </w:p>
        </w:tc>
      </w:tr>
      <w:tr w:rsidR="00953C6A" w14:paraId="60E7A46C" w14:textId="77777777" w:rsidTr="00E54B22">
        <w:tc>
          <w:tcPr>
            <w:tcW w:w="4940" w:type="dxa"/>
          </w:tcPr>
          <w:p w14:paraId="6C1E15D4" w14:textId="77777777" w:rsidR="00953C6A" w:rsidRPr="00E3079E" w:rsidRDefault="00953C6A" w:rsidP="00E54B22">
            <w:pPr>
              <w:pStyle w:val="Default"/>
            </w:pPr>
            <w:r w:rsidRPr="00E3079E">
              <w:rPr>
                <w:b/>
              </w:rPr>
              <w:t>Employer responsibility</w:t>
            </w:r>
          </w:p>
        </w:tc>
        <w:tc>
          <w:tcPr>
            <w:tcW w:w="4940" w:type="dxa"/>
          </w:tcPr>
          <w:p w14:paraId="5938537C" w14:textId="77777777" w:rsidR="00953C6A" w:rsidRPr="00E3079E" w:rsidRDefault="00953C6A" w:rsidP="00E54B22">
            <w:pPr>
              <w:pStyle w:val="Default"/>
            </w:pPr>
            <w:r w:rsidRPr="00E3079E">
              <w:rPr>
                <w:b/>
              </w:rPr>
              <w:t>Administrator responsibility</w:t>
            </w:r>
          </w:p>
        </w:tc>
      </w:tr>
      <w:tr w:rsidR="00953C6A" w14:paraId="634BA75D" w14:textId="77777777" w:rsidTr="00E54B22">
        <w:tc>
          <w:tcPr>
            <w:tcW w:w="4940" w:type="dxa"/>
          </w:tcPr>
          <w:p w14:paraId="6F84441A" w14:textId="0B3900E0" w:rsidR="002454EE" w:rsidRPr="00E3079E" w:rsidRDefault="00A4441F" w:rsidP="00316485">
            <w:r>
              <w:t>P</w:t>
            </w:r>
            <w:r w:rsidRPr="00E54B22">
              <w:t>rovide fully completed request including pay and other relevant information to the administrato</w:t>
            </w:r>
            <w:r w:rsidR="002454EE">
              <w:t xml:space="preserve">r, </w:t>
            </w:r>
            <w:r w:rsidR="002454EE" w:rsidRPr="00E3079E">
              <w:rPr>
                <w:highlight w:val="yellow"/>
              </w:rPr>
              <w:t>within 10 working days of the request</w:t>
            </w:r>
            <w:r w:rsidR="002454EE">
              <w:t xml:space="preserve">. </w:t>
            </w:r>
          </w:p>
        </w:tc>
        <w:tc>
          <w:tcPr>
            <w:tcW w:w="4940" w:type="dxa"/>
          </w:tcPr>
          <w:p w14:paraId="4035996C" w14:textId="41CB38A4" w:rsidR="00953C6A" w:rsidRPr="00E3079E" w:rsidRDefault="00522A0A" w:rsidP="00316485">
            <w:r>
              <w:t xml:space="preserve">Issue divorce information including the CETV </w:t>
            </w:r>
            <w:r w:rsidR="000001DA" w:rsidRPr="00E3079E">
              <w:rPr>
                <w:highlight w:val="yellow"/>
              </w:rPr>
              <w:t>within 3 months</w:t>
            </w:r>
            <w:r w:rsidR="000001DA">
              <w:t xml:space="preserve"> of receipt of the request from the member or the Court. </w:t>
            </w:r>
          </w:p>
        </w:tc>
      </w:tr>
    </w:tbl>
    <w:p w14:paraId="104FFE6F" w14:textId="77777777" w:rsidR="00354793" w:rsidRDefault="00354793"/>
    <w:tbl>
      <w:tblPr>
        <w:tblStyle w:val="TableGrid"/>
        <w:tblW w:w="0" w:type="auto"/>
        <w:tblLook w:val="04A0" w:firstRow="1" w:lastRow="0" w:firstColumn="1" w:lastColumn="0" w:noHBand="0" w:noVBand="1"/>
      </w:tblPr>
      <w:tblGrid>
        <w:gridCol w:w="4940"/>
        <w:gridCol w:w="4940"/>
      </w:tblGrid>
      <w:tr w:rsidR="004F2AA8" w:rsidRPr="00E54B22" w14:paraId="6CDC53D3" w14:textId="77777777" w:rsidTr="00456C30">
        <w:tc>
          <w:tcPr>
            <w:tcW w:w="4940" w:type="dxa"/>
            <w:shd w:val="clear" w:color="auto" w:fill="000000" w:themeFill="text1"/>
          </w:tcPr>
          <w:p w14:paraId="6ECF1E82" w14:textId="77777777" w:rsidR="004F2AA8" w:rsidRPr="00E54B22" w:rsidRDefault="004F2AA8" w:rsidP="00E54B22">
            <w:pPr>
              <w:pStyle w:val="Default"/>
            </w:pPr>
            <w:r w:rsidRPr="00E54B22">
              <w:rPr>
                <w:b/>
                <w:color w:val="FFFFFF" w:themeColor="background1"/>
              </w:rPr>
              <w:t xml:space="preserve">Function/ task: </w:t>
            </w:r>
            <w:r>
              <w:rPr>
                <w:b/>
                <w:color w:val="FFFFFF" w:themeColor="background1"/>
              </w:rPr>
              <w:t>Retirements</w:t>
            </w:r>
          </w:p>
        </w:tc>
        <w:tc>
          <w:tcPr>
            <w:tcW w:w="4940" w:type="dxa"/>
            <w:shd w:val="clear" w:color="auto" w:fill="000000" w:themeFill="text1"/>
          </w:tcPr>
          <w:p w14:paraId="45266422" w14:textId="45267123" w:rsidR="004F2AA8" w:rsidRPr="00E54B22" w:rsidRDefault="004F2AA8" w:rsidP="00E54B22">
            <w:pPr>
              <w:pStyle w:val="Default"/>
            </w:pPr>
          </w:p>
        </w:tc>
      </w:tr>
      <w:tr w:rsidR="00354793" w:rsidRPr="00E54B22" w14:paraId="0BF4E777" w14:textId="77777777" w:rsidTr="00E54B22">
        <w:tc>
          <w:tcPr>
            <w:tcW w:w="4940" w:type="dxa"/>
          </w:tcPr>
          <w:p w14:paraId="5B88BFEF" w14:textId="77777777" w:rsidR="00354793" w:rsidRPr="00E54B22" w:rsidRDefault="00354793" w:rsidP="00E54B22">
            <w:pPr>
              <w:pStyle w:val="Default"/>
            </w:pPr>
            <w:r w:rsidRPr="00E54B22">
              <w:rPr>
                <w:b/>
              </w:rPr>
              <w:t>Employer responsibility</w:t>
            </w:r>
          </w:p>
        </w:tc>
        <w:tc>
          <w:tcPr>
            <w:tcW w:w="4940" w:type="dxa"/>
          </w:tcPr>
          <w:p w14:paraId="28381E73" w14:textId="77777777" w:rsidR="00354793" w:rsidRPr="00E54B22" w:rsidRDefault="00354793" w:rsidP="00E54B22">
            <w:pPr>
              <w:pStyle w:val="Default"/>
            </w:pPr>
            <w:r w:rsidRPr="00E54B22">
              <w:rPr>
                <w:b/>
              </w:rPr>
              <w:t>Administrator responsibility</w:t>
            </w:r>
          </w:p>
        </w:tc>
      </w:tr>
      <w:tr w:rsidR="00354793" w:rsidRPr="00E54B22" w14:paraId="4A934F24" w14:textId="77777777" w:rsidTr="00E54B22">
        <w:tc>
          <w:tcPr>
            <w:tcW w:w="4940" w:type="dxa"/>
          </w:tcPr>
          <w:p w14:paraId="0443BEBB" w14:textId="6F0FF331" w:rsidR="008A71EB" w:rsidRDefault="00681F5E" w:rsidP="00316485">
            <w:r>
              <w:t xml:space="preserve">Submit </w:t>
            </w:r>
            <w:r w:rsidR="0013703B">
              <w:t xml:space="preserve">the relevant, fully completed </w:t>
            </w:r>
            <w:r w:rsidR="00B43CFE">
              <w:t xml:space="preserve">retirement </w:t>
            </w:r>
            <w:r w:rsidR="0013703B">
              <w:t xml:space="preserve">form to the administrator as soon as the information is available. </w:t>
            </w:r>
          </w:p>
          <w:p w14:paraId="4D6070DC" w14:textId="51F1812E" w:rsidR="00354793" w:rsidRPr="00E54B22" w:rsidRDefault="00B43CFE" w:rsidP="00316485">
            <w:r>
              <w:t>On request, p</w:t>
            </w:r>
            <w:r w:rsidR="00402FA2">
              <w:t>rovide t</w:t>
            </w:r>
            <w:r w:rsidR="008A71EB">
              <w:t xml:space="preserve">he calculation of final pensionable pay </w:t>
            </w:r>
            <w:r w:rsidR="002B5312">
              <w:t xml:space="preserve">so that the accuracy of the pay </w:t>
            </w:r>
            <w:r w:rsidR="00402FA2">
              <w:t>figure</w:t>
            </w:r>
            <w:r w:rsidR="002B5312">
              <w:t xml:space="preserve"> can be checked.</w:t>
            </w:r>
            <w:r w:rsidR="00354793">
              <w:t xml:space="preserve"> </w:t>
            </w:r>
          </w:p>
        </w:tc>
        <w:tc>
          <w:tcPr>
            <w:tcW w:w="4940" w:type="dxa"/>
          </w:tcPr>
          <w:p w14:paraId="331272D0" w14:textId="1B92D7D0" w:rsidR="00804FF0" w:rsidRDefault="00402FA2" w:rsidP="00316485">
            <w:r>
              <w:t xml:space="preserve">Return </w:t>
            </w:r>
            <w:r w:rsidR="00804FF0">
              <w:t xml:space="preserve">any form appearing to be incorrect to the FRA for amendment as soon as reasonably possible. </w:t>
            </w:r>
          </w:p>
          <w:p w14:paraId="4D792674" w14:textId="5344E4DA" w:rsidR="005E3FF1" w:rsidRDefault="0046520F" w:rsidP="00316485">
            <w:r>
              <w:t xml:space="preserve">Issue </w:t>
            </w:r>
            <w:r w:rsidR="00960D12">
              <w:t>an</w:t>
            </w:r>
            <w:r>
              <w:t xml:space="preserve"> initial offer letter and benefit information to the member </w:t>
            </w:r>
            <w:r w:rsidRPr="00E3079E">
              <w:rPr>
                <w:highlight w:val="yellow"/>
              </w:rPr>
              <w:t>within 5 working days</w:t>
            </w:r>
            <w:r>
              <w:t xml:space="preserve"> of </w:t>
            </w:r>
            <w:r w:rsidR="0092451D">
              <w:t xml:space="preserve">receiving the </w:t>
            </w:r>
            <w:r w:rsidR="005E3FF1">
              <w:t xml:space="preserve">correct </w:t>
            </w:r>
            <w:r w:rsidR="0092451D">
              <w:t xml:space="preserve">completed form. </w:t>
            </w:r>
          </w:p>
          <w:p w14:paraId="107F392F" w14:textId="40844AD8" w:rsidR="00960D12" w:rsidRDefault="00901B88" w:rsidP="00316485">
            <w:r>
              <w:t xml:space="preserve">Issue </w:t>
            </w:r>
            <w:r w:rsidR="00960D12">
              <w:t>a</w:t>
            </w:r>
            <w:r>
              <w:t xml:space="preserve"> letter confirming actual retirement benefits </w:t>
            </w:r>
            <w:r w:rsidR="00960D12" w:rsidRPr="00E3079E">
              <w:rPr>
                <w:highlight w:val="yellow"/>
              </w:rPr>
              <w:t>within 5 working days</w:t>
            </w:r>
            <w:r w:rsidR="00960D12">
              <w:t xml:space="preserve"> of receiving completed documentation from the member.</w:t>
            </w:r>
          </w:p>
          <w:p w14:paraId="51D36B6F" w14:textId="59282760" w:rsidR="008A64C9" w:rsidRDefault="00BD1727" w:rsidP="00316485">
            <w:r>
              <w:t xml:space="preserve">Make payment of any lump sum </w:t>
            </w:r>
            <w:r w:rsidRPr="00E3079E">
              <w:rPr>
                <w:highlight w:val="yellow"/>
              </w:rPr>
              <w:t>within 5 working days</w:t>
            </w:r>
            <w:r>
              <w:t xml:space="preserve"> of receiving all relevant completed forms and </w:t>
            </w:r>
            <w:r w:rsidR="008A64C9">
              <w:t xml:space="preserve">proof of identity from the member, or on the retirement date if this is later. </w:t>
            </w:r>
          </w:p>
          <w:p w14:paraId="07D67D58" w14:textId="65CCF8C5" w:rsidR="008A64C9" w:rsidRPr="00E54B22" w:rsidRDefault="00571165" w:rsidP="00316485">
            <w:r>
              <w:t xml:space="preserve">Make monthly pension payments on the relevant payment date </w:t>
            </w:r>
            <w:r w:rsidR="009A6D72">
              <w:t xml:space="preserve">of each month following retirement, including any arrears due. </w:t>
            </w:r>
            <w:r w:rsidR="0038219B">
              <w:t>Payment dates may be adjusted to weekends and bank holidays.</w:t>
            </w:r>
          </w:p>
        </w:tc>
      </w:tr>
      <w:tr w:rsidR="004F2AA8" w:rsidRPr="00E54B22" w14:paraId="5EB551AD" w14:textId="77777777" w:rsidTr="00AC68FD">
        <w:tc>
          <w:tcPr>
            <w:tcW w:w="4940" w:type="dxa"/>
            <w:shd w:val="clear" w:color="auto" w:fill="000000" w:themeFill="text1"/>
          </w:tcPr>
          <w:p w14:paraId="69CAC846" w14:textId="77777777" w:rsidR="004F2AA8" w:rsidRPr="00E54B22" w:rsidRDefault="004F2AA8" w:rsidP="00E54B22">
            <w:pPr>
              <w:pStyle w:val="Default"/>
            </w:pPr>
            <w:r w:rsidRPr="00E54B22">
              <w:rPr>
                <w:b/>
                <w:color w:val="FFFFFF" w:themeColor="background1"/>
              </w:rPr>
              <w:t xml:space="preserve">Function/ task: </w:t>
            </w:r>
            <w:r>
              <w:rPr>
                <w:b/>
                <w:color w:val="FFFFFF" w:themeColor="background1"/>
              </w:rPr>
              <w:t>Retirements – ill-health</w:t>
            </w:r>
          </w:p>
        </w:tc>
        <w:tc>
          <w:tcPr>
            <w:tcW w:w="4940" w:type="dxa"/>
            <w:shd w:val="clear" w:color="auto" w:fill="000000" w:themeFill="text1"/>
          </w:tcPr>
          <w:p w14:paraId="4439210A" w14:textId="0BB99661" w:rsidR="004F2AA8" w:rsidRPr="00E54B22" w:rsidRDefault="004F2AA8" w:rsidP="00E54B22">
            <w:pPr>
              <w:pStyle w:val="Default"/>
            </w:pPr>
          </w:p>
        </w:tc>
      </w:tr>
      <w:tr w:rsidR="00F63A65" w:rsidRPr="00E54B22" w14:paraId="79ED670F" w14:textId="77777777" w:rsidTr="00E54B22">
        <w:tc>
          <w:tcPr>
            <w:tcW w:w="4940" w:type="dxa"/>
          </w:tcPr>
          <w:p w14:paraId="6D0B39E7" w14:textId="77777777" w:rsidR="00F63A65" w:rsidRPr="00E54B22" w:rsidRDefault="00F63A65" w:rsidP="00E54B22">
            <w:pPr>
              <w:pStyle w:val="Default"/>
            </w:pPr>
            <w:r w:rsidRPr="00E54B22">
              <w:rPr>
                <w:b/>
              </w:rPr>
              <w:t>Employer responsibility</w:t>
            </w:r>
          </w:p>
        </w:tc>
        <w:tc>
          <w:tcPr>
            <w:tcW w:w="4940" w:type="dxa"/>
          </w:tcPr>
          <w:p w14:paraId="62B94DE0" w14:textId="77777777" w:rsidR="00F63A65" w:rsidRPr="00E54B22" w:rsidRDefault="00F63A65" w:rsidP="00E54B22">
            <w:pPr>
              <w:pStyle w:val="Default"/>
            </w:pPr>
            <w:r w:rsidRPr="00E54B22">
              <w:rPr>
                <w:b/>
              </w:rPr>
              <w:t>Administrator responsibility</w:t>
            </w:r>
          </w:p>
        </w:tc>
      </w:tr>
      <w:tr w:rsidR="00F63A65" w:rsidRPr="00E54B22" w14:paraId="0486965E" w14:textId="77777777" w:rsidTr="00E54B22">
        <w:tc>
          <w:tcPr>
            <w:tcW w:w="4940" w:type="dxa"/>
          </w:tcPr>
          <w:p w14:paraId="2EDBC6AB" w14:textId="663D6F17" w:rsidR="00B43CFE" w:rsidRDefault="00FC5CB7" w:rsidP="00316485">
            <w:r>
              <w:t xml:space="preserve">Determine whether the member is entitled an ill-health award </w:t>
            </w:r>
            <w:r w:rsidR="00094D01">
              <w:t>after obtaining a medical opinion from an Independent Qualified Medical Practitioner</w:t>
            </w:r>
            <w:r w:rsidR="00825058">
              <w:t xml:space="preserve"> (IQMP)</w:t>
            </w:r>
            <w:r w:rsidR="00543933">
              <w:t xml:space="preserve"> on the </w:t>
            </w:r>
            <w:r w:rsidR="003E7C7C">
              <w:t>relevant scheme certificate</w:t>
            </w:r>
            <w:r w:rsidR="00825058">
              <w:t xml:space="preserve"> and if so, which tier </w:t>
            </w:r>
            <w:r w:rsidR="00651459">
              <w:t>–</w:t>
            </w:r>
            <w:r w:rsidR="00825058">
              <w:t xml:space="preserve"> </w:t>
            </w:r>
            <w:r w:rsidR="00651459">
              <w:t>upper or lower.</w:t>
            </w:r>
          </w:p>
          <w:p w14:paraId="749331E3" w14:textId="6608719E" w:rsidR="00B43CFE" w:rsidRDefault="00B43CFE" w:rsidP="00316485">
            <w:r>
              <w:t>Submit the relevant, fully completed retirement form to the administrator as soon as the information is availabl</w:t>
            </w:r>
            <w:r w:rsidR="00825058">
              <w:t>e, including a copy of the IQMP certificate and confirmation of the relevant tier</w:t>
            </w:r>
            <w:r w:rsidR="00651459">
              <w:t>.</w:t>
            </w:r>
          </w:p>
          <w:p w14:paraId="6EFA5A0A" w14:textId="0B53CB4F" w:rsidR="00F4746D" w:rsidRDefault="00B43CFE" w:rsidP="00316485">
            <w:r>
              <w:lastRenderedPageBreak/>
              <w:t xml:space="preserve">On request, provide the calculation of final pensionable pay so that the accuracy of the pay figure can be checked.  </w:t>
            </w:r>
          </w:p>
          <w:p w14:paraId="3156A70C" w14:textId="533A7103" w:rsidR="00F4746D" w:rsidRDefault="00F4746D" w:rsidP="00316485">
            <w:r>
              <w:t>Make the appropriate payment into the notional pension fund:</w:t>
            </w:r>
          </w:p>
          <w:p w14:paraId="040E6BFE" w14:textId="64CBCAA0" w:rsidR="00F4746D" w:rsidRDefault="00F4746D" w:rsidP="00316485">
            <w:pPr>
              <w:pStyle w:val="NoSpacing"/>
            </w:pPr>
            <w:r>
              <w:t xml:space="preserve">2 </w:t>
            </w:r>
            <w:r w:rsidR="00505E96">
              <w:t>x final pay for lower tier</w:t>
            </w:r>
          </w:p>
          <w:p w14:paraId="153B4F01" w14:textId="7808CBAF" w:rsidR="00651459" w:rsidRDefault="00505E96" w:rsidP="00316485">
            <w:pPr>
              <w:rPr>
                <w:bCs/>
              </w:rPr>
            </w:pPr>
            <w:r>
              <w:t>4 x final pay for upper tier</w:t>
            </w:r>
          </w:p>
          <w:p w14:paraId="2A6578E8" w14:textId="7AC3D1C3" w:rsidR="007B48EA" w:rsidRDefault="00241686" w:rsidP="00316485">
            <w:pPr>
              <w:rPr>
                <w:bCs/>
              </w:rPr>
            </w:pPr>
            <w:r>
              <w:rPr>
                <w:bCs/>
              </w:rPr>
              <w:t>C</w:t>
            </w:r>
            <w:r w:rsidR="00651459">
              <w:rPr>
                <w:bCs/>
              </w:rPr>
              <w:t>onduct ill-health reviews at the appropriate intervals as specified in the scheme regulations</w:t>
            </w:r>
            <w:r w:rsidR="00505E96">
              <w:rPr>
                <w:bCs/>
              </w:rPr>
              <w:t xml:space="preserve"> and notify the administrator of any changes</w:t>
            </w:r>
            <w:r w:rsidR="00651459">
              <w:rPr>
                <w:bCs/>
              </w:rPr>
              <w:t xml:space="preserve">. </w:t>
            </w:r>
          </w:p>
          <w:p w14:paraId="247B07F5" w14:textId="10226348" w:rsidR="007B48EA" w:rsidRPr="00316485" w:rsidRDefault="007B48EA" w:rsidP="00316485">
            <w:bookmarkStart w:id="169" w:name="_Hlk43993404"/>
            <w:r w:rsidRPr="00316485">
              <w:rPr>
                <w:szCs w:val="24"/>
              </w:rPr>
              <w:t>Review Injury Award pensions on an annual basis to ensure the correct DWP deductible benefits have been taken into account.</w:t>
            </w:r>
            <w:bookmarkEnd w:id="169"/>
          </w:p>
        </w:tc>
        <w:tc>
          <w:tcPr>
            <w:tcW w:w="4940" w:type="dxa"/>
          </w:tcPr>
          <w:p w14:paraId="2B6B408A" w14:textId="67949F44" w:rsidR="00EE6413" w:rsidRDefault="008F1C8A" w:rsidP="00316485">
            <w:r>
              <w:lastRenderedPageBreak/>
              <w:t>Calculate and pay the required benefit in line with the above timescales.</w:t>
            </w:r>
          </w:p>
          <w:p w14:paraId="1EECFBDA" w14:textId="4572B7D5" w:rsidR="00EE6413" w:rsidRPr="00316485" w:rsidRDefault="00EE6413" w:rsidP="00316485">
            <w:r w:rsidRPr="009300F7">
              <w:rPr>
                <w:szCs w:val="24"/>
              </w:rPr>
              <w:t>Review Injury Award pensions on an annual basis to ensure the correct DWP deductible benefits have been taken into account</w:t>
            </w:r>
            <w:r>
              <w:rPr>
                <w:szCs w:val="24"/>
              </w:rPr>
              <w:t xml:space="preserve"> if this falls within the SLA</w:t>
            </w:r>
            <w:r w:rsidRPr="009300F7">
              <w:rPr>
                <w:szCs w:val="24"/>
              </w:rPr>
              <w:t>.</w:t>
            </w:r>
          </w:p>
        </w:tc>
      </w:tr>
    </w:tbl>
    <w:p w14:paraId="332DD280" w14:textId="77777777" w:rsidR="00D47A92" w:rsidRDefault="00D47A92"/>
    <w:tbl>
      <w:tblPr>
        <w:tblStyle w:val="TableGrid"/>
        <w:tblW w:w="0" w:type="auto"/>
        <w:tblLook w:val="04A0" w:firstRow="1" w:lastRow="0" w:firstColumn="1" w:lastColumn="0" w:noHBand="0" w:noVBand="1"/>
      </w:tblPr>
      <w:tblGrid>
        <w:gridCol w:w="4940"/>
        <w:gridCol w:w="4940"/>
      </w:tblGrid>
      <w:tr w:rsidR="004F2AA8" w:rsidRPr="00E54B22" w14:paraId="4CE67B9F" w14:textId="77777777" w:rsidTr="00214FC0">
        <w:tc>
          <w:tcPr>
            <w:tcW w:w="4940" w:type="dxa"/>
            <w:shd w:val="clear" w:color="auto" w:fill="000000" w:themeFill="text1"/>
          </w:tcPr>
          <w:p w14:paraId="5577AF26" w14:textId="1B9FD7A2" w:rsidR="004F2AA8" w:rsidRPr="00E54B22" w:rsidRDefault="004F2AA8" w:rsidP="00E54B22">
            <w:pPr>
              <w:pStyle w:val="Default"/>
            </w:pPr>
            <w:r w:rsidRPr="00E54B22">
              <w:rPr>
                <w:b/>
                <w:color w:val="FFFFFF" w:themeColor="background1"/>
              </w:rPr>
              <w:t xml:space="preserve">Function/ task: </w:t>
            </w:r>
            <w:r>
              <w:rPr>
                <w:b/>
                <w:color w:val="FFFFFF" w:themeColor="background1"/>
              </w:rPr>
              <w:t xml:space="preserve">Leaving before retirement </w:t>
            </w:r>
          </w:p>
        </w:tc>
        <w:tc>
          <w:tcPr>
            <w:tcW w:w="4940" w:type="dxa"/>
            <w:shd w:val="clear" w:color="auto" w:fill="000000" w:themeFill="text1"/>
          </w:tcPr>
          <w:p w14:paraId="75DD7BE2" w14:textId="5E203086" w:rsidR="004F2AA8" w:rsidRPr="00E54B22" w:rsidRDefault="004F2AA8" w:rsidP="00E54B22">
            <w:pPr>
              <w:pStyle w:val="Default"/>
            </w:pPr>
            <w:r>
              <w:rPr>
                <w:b/>
                <w:color w:val="FFFFFF" w:themeColor="background1"/>
              </w:rPr>
              <w:t>– deferred benefits</w:t>
            </w:r>
          </w:p>
        </w:tc>
      </w:tr>
      <w:tr w:rsidR="00D47A92" w:rsidRPr="00E54B22" w14:paraId="78496829" w14:textId="77777777" w:rsidTr="00E54B22">
        <w:tc>
          <w:tcPr>
            <w:tcW w:w="4940" w:type="dxa"/>
          </w:tcPr>
          <w:p w14:paraId="4121599B" w14:textId="77777777" w:rsidR="00D47A92" w:rsidRPr="00E54B22" w:rsidRDefault="00D47A92" w:rsidP="00E54B22">
            <w:pPr>
              <w:pStyle w:val="Default"/>
            </w:pPr>
            <w:r w:rsidRPr="00E54B22">
              <w:rPr>
                <w:b/>
              </w:rPr>
              <w:t>Employer responsibility</w:t>
            </w:r>
          </w:p>
        </w:tc>
        <w:tc>
          <w:tcPr>
            <w:tcW w:w="4940" w:type="dxa"/>
          </w:tcPr>
          <w:p w14:paraId="377756CB" w14:textId="77777777" w:rsidR="00D47A92" w:rsidRPr="00E54B22" w:rsidRDefault="00D47A92" w:rsidP="00E54B22">
            <w:pPr>
              <w:pStyle w:val="Default"/>
            </w:pPr>
            <w:r w:rsidRPr="00E54B22">
              <w:rPr>
                <w:b/>
              </w:rPr>
              <w:t>Administrator responsibility</w:t>
            </w:r>
          </w:p>
        </w:tc>
      </w:tr>
      <w:tr w:rsidR="00D47A92" w:rsidRPr="00E54B22" w14:paraId="067BDA97" w14:textId="77777777" w:rsidTr="00E54B22">
        <w:tc>
          <w:tcPr>
            <w:tcW w:w="4940" w:type="dxa"/>
          </w:tcPr>
          <w:p w14:paraId="1B56E2C0" w14:textId="74C90456" w:rsidR="008958B9" w:rsidRDefault="00C37826" w:rsidP="00316485">
            <w:r>
              <w:t xml:space="preserve">Notify the administrator using the relevant </w:t>
            </w:r>
            <w:r w:rsidR="00AA5280">
              <w:t xml:space="preserve">leaver </w:t>
            </w:r>
            <w:r>
              <w:t xml:space="preserve">form, ensuring all information is accurately provided, </w:t>
            </w:r>
            <w:r w:rsidRPr="00E3079E">
              <w:rPr>
                <w:highlight w:val="yellow"/>
              </w:rPr>
              <w:t>within 4 weeks</w:t>
            </w:r>
            <w:r>
              <w:t xml:space="preserve"> of the member’s date of leaving. </w:t>
            </w:r>
          </w:p>
          <w:p w14:paraId="3C43CAED" w14:textId="7522E9F1" w:rsidR="001D18F5" w:rsidRDefault="008958B9" w:rsidP="00316485">
            <w:r w:rsidRPr="00316485">
              <w:rPr>
                <w:b/>
              </w:rPr>
              <w:t>N.B.</w:t>
            </w:r>
            <w:r>
              <w:t xml:space="preserve"> This includes members opting out with more than three months’ service.</w:t>
            </w:r>
          </w:p>
          <w:p w14:paraId="6A85C182" w14:textId="284752F5" w:rsidR="001D18F5" w:rsidRDefault="001D18F5" w:rsidP="00316485">
            <w:pPr>
              <w:rPr>
                <w:sz w:val="22"/>
              </w:rPr>
            </w:pPr>
            <w:r>
              <w:rPr>
                <w:szCs w:val="24"/>
              </w:rPr>
              <w:t>P</w:t>
            </w:r>
            <w:r w:rsidRPr="00316485">
              <w:rPr>
                <w:szCs w:val="24"/>
              </w:rPr>
              <w:t xml:space="preserve">ay any refunds due </w:t>
            </w:r>
            <w:r w:rsidRPr="00316485">
              <w:rPr>
                <w:szCs w:val="24"/>
                <w:highlight w:val="yellow"/>
              </w:rPr>
              <w:t>within 10 working days</w:t>
            </w:r>
            <w:r w:rsidRPr="00316485">
              <w:rPr>
                <w:szCs w:val="24"/>
              </w:rPr>
              <w:t xml:space="preserve"> of notification from </w:t>
            </w:r>
            <w:r>
              <w:rPr>
                <w:szCs w:val="24"/>
              </w:rPr>
              <w:t>the administrator</w:t>
            </w:r>
            <w:r w:rsidRPr="004A4E5C">
              <w:rPr>
                <w:sz w:val="22"/>
              </w:rPr>
              <w:t>.</w:t>
            </w:r>
          </w:p>
          <w:p w14:paraId="384FB7F9" w14:textId="63888B1F" w:rsidR="001D18F5" w:rsidRPr="00316485" w:rsidRDefault="00A83BD4" w:rsidP="00316485">
            <w:r>
              <w:rPr>
                <w:szCs w:val="24"/>
              </w:rPr>
              <w:t>P</w:t>
            </w:r>
            <w:r w:rsidRPr="00316485">
              <w:rPr>
                <w:szCs w:val="24"/>
              </w:rPr>
              <w:t xml:space="preserve">ay any transfer payment due </w:t>
            </w:r>
            <w:r w:rsidRPr="00316485">
              <w:rPr>
                <w:szCs w:val="24"/>
                <w:highlight w:val="yellow"/>
              </w:rPr>
              <w:t>within 10 working days</w:t>
            </w:r>
            <w:r w:rsidRPr="00316485">
              <w:rPr>
                <w:szCs w:val="24"/>
              </w:rPr>
              <w:t xml:space="preserve"> of notification from </w:t>
            </w:r>
            <w:r>
              <w:rPr>
                <w:szCs w:val="24"/>
              </w:rPr>
              <w:t>the administrator.</w:t>
            </w:r>
          </w:p>
        </w:tc>
        <w:tc>
          <w:tcPr>
            <w:tcW w:w="4940" w:type="dxa"/>
          </w:tcPr>
          <w:p w14:paraId="328B0700" w14:textId="10F6341E" w:rsidR="00AA5280" w:rsidRDefault="00AA5280" w:rsidP="00316485">
            <w:r w:rsidRPr="00E54B22">
              <w:t>Accurately update member records on the pensions administration system.</w:t>
            </w:r>
          </w:p>
          <w:p w14:paraId="49ABCFC3" w14:textId="3358F28B" w:rsidR="008A30E9" w:rsidRDefault="00AA5280" w:rsidP="00316485">
            <w:pPr>
              <w:rPr>
                <w:bCs/>
              </w:rPr>
            </w:pPr>
            <w:r>
              <w:t xml:space="preserve">Notify the member of their deferred benefit entitlement and options </w:t>
            </w:r>
            <w:r w:rsidRPr="00E3079E">
              <w:rPr>
                <w:highlight w:val="yellow"/>
              </w:rPr>
              <w:t>within 2 months</w:t>
            </w:r>
            <w:r>
              <w:t xml:space="preserve"> of receiving the correctly completed leaver form. </w:t>
            </w:r>
          </w:p>
          <w:p w14:paraId="748A4DA9" w14:textId="4111C45C" w:rsidR="001B1E8A" w:rsidRDefault="00127526" w:rsidP="00316485">
            <w:pPr>
              <w:rPr>
                <w:bCs/>
              </w:rPr>
            </w:pPr>
            <w:r>
              <w:rPr>
                <w:bCs/>
              </w:rPr>
              <w:t>Calculate a</w:t>
            </w:r>
            <w:r w:rsidR="008A30E9">
              <w:rPr>
                <w:bCs/>
              </w:rPr>
              <w:t xml:space="preserve"> refund to an eligible member </w:t>
            </w:r>
            <w:r w:rsidR="008A30E9" w:rsidRPr="00E3079E">
              <w:rPr>
                <w:bCs/>
                <w:highlight w:val="yellow"/>
              </w:rPr>
              <w:t xml:space="preserve">within </w:t>
            </w:r>
            <w:r w:rsidR="008474C7">
              <w:rPr>
                <w:bCs/>
                <w:highlight w:val="yellow"/>
              </w:rPr>
              <w:t>10</w:t>
            </w:r>
            <w:r w:rsidR="008A30E9" w:rsidRPr="00E3079E">
              <w:rPr>
                <w:bCs/>
                <w:highlight w:val="yellow"/>
              </w:rPr>
              <w:t xml:space="preserve"> working days</w:t>
            </w:r>
            <w:r w:rsidR="008A30E9">
              <w:rPr>
                <w:bCs/>
              </w:rPr>
              <w:t xml:space="preserve"> </w:t>
            </w:r>
            <w:r w:rsidR="00AC4239">
              <w:rPr>
                <w:bCs/>
              </w:rPr>
              <w:t xml:space="preserve">of receiving all relevant documentation </w:t>
            </w:r>
            <w:r w:rsidR="008474C7">
              <w:rPr>
                <w:bCs/>
              </w:rPr>
              <w:t>and notify the employer.</w:t>
            </w:r>
          </w:p>
          <w:p w14:paraId="7C2E6430" w14:textId="485FE11E" w:rsidR="001B1E8A" w:rsidRPr="00316485" w:rsidRDefault="001B1E8A" w:rsidP="00316485">
            <w:pPr>
              <w:rPr>
                <w:szCs w:val="24"/>
              </w:rPr>
            </w:pPr>
            <w:r w:rsidRPr="00316485">
              <w:rPr>
                <w:szCs w:val="24"/>
              </w:rPr>
              <w:t xml:space="preserve">Issue one transfer-out quotation, guaranteed for 3 months, </w:t>
            </w:r>
            <w:r w:rsidRPr="00316485">
              <w:rPr>
                <w:szCs w:val="24"/>
                <w:highlight w:val="yellow"/>
              </w:rPr>
              <w:t>within 10 days</w:t>
            </w:r>
            <w:r w:rsidRPr="00316485">
              <w:rPr>
                <w:szCs w:val="24"/>
              </w:rPr>
              <w:t xml:space="preserve"> of receiving all the information required.</w:t>
            </w:r>
          </w:p>
          <w:p w14:paraId="65519988" w14:textId="485D7783" w:rsidR="008474C7" w:rsidRPr="00316485" w:rsidRDefault="001B1E8A" w:rsidP="00316485">
            <w:pPr>
              <w:rPr>
                <w:bCs/>
                <w:sz w:val="28"/>
                <w:szCs w:val="28"/>
              </w:rPr>
            </w:pPr>
            <w:r w:rsidRPr="00316485">
              <w:rPr>
                <w:szCs w:val="24"/>
              </w:rPr>
              <w:t xml:space="preserve">Notify the employer of the amount to pay for transfer-out </w:t>
            </w:r>
            <w:r w:rsidRPr="00316485">
              <w:rPr>
                <w:szCs w:val="24"/>
                <w:highlight w:val="yellow"/>
              </w:rPr>
              <w:t>within 5 days</w:t>
            </w:r>
            <w:r w:rsidRPr="00316485">
              <w:rPr>
                <w:szCs w:val="24"/>
              </w:rPr>
              <w:t xml:space="preserve"> of receipt of request from member.</w:t>
            </w:r>
          </w:p>
        </w:tc>
      </w:tr>
    </w:tbl>
    <w:p w14:paraId="74D58682" w14:textId="19090B9D" w:rsidR="0045216E" w:rsidRDefault="0045216E" w:rsidP="001D4D10">
      <w:pPr>
        <w:rPr>
          <w:sz w:val="23"/>
          <w:szCs w:val="23"/>
        </w:rPr>
      </w:pPr>
    </w:p>
    <w:p w14:paraId="0B0F323F" w14:textId="77777777" w:rsidR="0045216E" w:rsidRDefault="0045216E">
      <w:pPr>
        <w:spacing w:after="0"/>
        <w:rPr>
          <w:sz w:val="23"/>
          <w:szCs w:val="23"/>
        </w:rPr>
      </w:pPr>
      <w:r>
        <w:rPr>
          <w:sz w:val="23"/>
          <w:szCs w:val="23"/>
        </w:rPr>
        <w:br w:type="page"/>
      </w:r>
    </w:p>
    <w:tbl>
      <w:tblPr>
        <w:tblStyle w:val="TableGrid"/>
        <w:tblW w:w="0" w:type="auto"/>
        <w:tblLook w:val="04A0" w:firstRow="1" w:lastRow="0" w:firstColumn="1" w:lastColumn="0" w:noHBand="0" w:noVBand="1"/>
      </w:tblPr>
      <w:tblGrid>
        <w:gridCol w:w="4940"/>
        <w:gridCol w:w="4940"/>
      </w:tblGrid>
      <w:tr w:rsidR="004F2AA8" w:rsidRPr="00E54B22" w14:paraId="6911C05F" w14:textId="77777777" w:rsidTr="00396542">
        <w:tc>
          <w:tcPr>
            <w:tcW w:w="4940" w:type="dxa"/>
            <w:shd w:val="clear" w:color="auto" w:fill="000000" w:themeFill="text1"/>
          </w:tcPr>
          <w:p w14:paraId="049481D6" w14:textId="77777777" w:rsidR="004F2AA8" w:rsidRPr="00E54B22" w:rsidRDefault="004F2AA8" w:rsidP="00E54B22">
            <w:pPr>
              <w:pStyle w:val="Default"/>
            </w:pPr>
            <w:r w:rsidRPr="00E54B22">
              <w:rPr>
                <w:b/>
                <w:color w:val="FFFFFF" w:themeColor="background1"/>
              </w:rPr>
              <w:lastRenderedPageBreak/>
              <w:t xml:space="preserve">Function/ task: </w:t>
            </w:r>
            <w:r>
              <w:rPr>
                <w:b/>
                <w:color w:val="FFFFFF" w:themeColor="background1"/>
              </w:rPr>
              <w:t>Members with deferred benefits</w:t>
            </w:r>
          </w:p>
        </w:tc>
        <w:tc>
          <w:tcPr>
            <w:tcW w:w="4940" w:type="dxa"/>
            <w:shd w:val="clear" w:color="auto" w:fill="000000" w:themeFill="text1"/>
          </w:tcPr>
          <w:p w14:paraId="5740B94E" w14:textId="530BBE68" w:rsidR="004F2AA8" w:rsidRPr="00E54B22" w:rsidRDefault="004F2AA8" w:rsidP="00E54B22">
            <w:pPr>
              <w:pStyle w:val="Default"/>
            </w:pPr>
          </w:p>
        </w:tc>
      </w:tr>
      <w:tr w:rsidR="002C148D" w:rsidRPr="00E54B22" w14:paraId="23BD22BA" w14:textId="77777777" w:rsidTr="00E54B22">
        <w:tc>
          <w:tcPr>
            <w:tcW w:w="4940" w:type="dxa"/>
          </w:tcPr>
          <w:p w14:paraId="690DF0F3" w14:textId="77777777" w:rsidR="002C148D" w:rsidRPr="00E54B22" w:rsidRDefault="002C148D" w:rsidP="00E54B22">
            <w:pPr>
              <w:pStyle w:val="Default"/>
            </w:pPr>
            <w:r w:rsidRPr="00E54B22">
              <w:rPr>
                <w:b/>
              </w:rPr>
              <w:t>Employer responsibility</w:t>
            </w:r>
          </w:p>
        </w:tc>
        <w:tc>
          <w:tcPr>
            <w:tcW w:w="4940" w:type="dxa"/>
          </w:tcPr>
          <w:p w14:paraId="56E17E75" w14:textId="77777777" w:rsidR="002C148D" w:rsidRPr="00E54B22" w:rsidRDefault="002C148D" w:rsidP="00E54B22">
            <w:pPr>
              <w:pStyle w:val="Default"/>
            </w:pPr>
            <w:r w:rsidRPr="00E54B22">
              <w:rPr>
                <w:b/>
              </w:rPr>
              <w:t>Administrator responsibility</w:t>
            </w:r>
          </w:p>
        </w:tc>
      </w:tr>
      <w:tr w:rsidR="002C148D" w:rsidRPr="00E54B22" w14:paraId="5BCC94D4" w14:textId="77777777" w:rsidTr="00E54B22">
        <w:tc>
          <w:tcPr>
            <w:tcW w:w="4940" w:type="dxa"/>
          </w:tcPr>
          <w:p w14:paraId="2F6E3A1E" w14:textId="0B5CD04C" w:rsidR="0091026F" w:rsidRDefault="00C921A7" w:rsidP="00316485">
            <w:r>
              <w:t>Keep adequate records</w:t>
            </w:r>
            <w:r w:rsidR="00071DB4">
              <w:t xml:space="preserve"> for deferred members in case of a </w:t>
            </w:r>
            <w:r w:rsidR="00672942">
              <w:t xml:space="preserve">request for early payment. </w:t>
            </w:r>
          </w:p>
          <w:p w14:paraId="6490CC9C" w14:textId="3339BE98" w:rsidR="0091026F" w:rsidRDefault="00F17CD9" w:rsidP="00316485">
            <w:r>
              <w:t xml:space="preserve">Following an application </w:t>
            </w:r>
            <w:r w:rsidR="004D66CC">
              <w:t xml:space="preserve">from a former member to have their deferred benefits paid early in ill-health grounds, </w:t>
            </w:r>
            <w:r w:rsidR="00FA2725">
              <w:t xml:space="preserve">obtain a medical opinion from an IQMP on the relevant certificate, and determine </w:t>
            </w:r>
            <w:r w:rsidR="00AE17FE">
              <w:t xml:space="preserve">whether the member is eligible. </w:t>
            </w:r>
          </w:p>
          <w:p w14:paraId="6B11BF25" w14:textId="1168B39B" w:rsidR="0091026F" w:rsidRPr="00E3079E" w:rsidRDefault="0091026F" w:rsidP="00316485">
            <w:r>
              <w:t>Submit the relevant, fully completed form to the administrato</w:t>
            </w:r>
            <w:r w:rsidR="00CD3CC0">
              <w:t>r</w:t>
            </w:r>
            <w:r>
              <w:t>, including a copy of the IQMP certificate</w:t>
            </w:r>
            <w:r w:rsidR="00AE17FE">
              <w:t>.</w:t>
            </w:r>
          </w:p>
        </w:tc>
        <w:tc>
          <w:tcPr>
            <w:tcW w:w="4940" w:type="dxa"/>
          </w:tcPr>
          <w:p w14:paraId="000907C9" w14:textId="1F67389B" w:rsidR="002C148D" w:rsidRDefault="007F694A" w:rsidP="00316485">
            <w:pPr>
              <w:rPr>
                <w:b/>
              </w:rPr>
            </w:pPr>
            <w:r w:rsidRPr="00E54B22">
              <w:t>Accurately update member records on the pensions administration system.</w:t>
            </w:r>
          </w:p>
          <w:p w14:paraId="6DB09FDC" w14:textId="52A6402D" w:rsidR="006011D4" w:rsidRDefault="007F694A" w:rsidP="00316485">
            <w:pPr>
              <w:rPr>
                <w:bCs/>
              </w:rPr>
            </w:pPr>
            <w:r>
              <w:rPr>
                <w:bCs/>
              </w:rPr>
              <w:t xml:space="preserve">Provide each deferred member with an annual statement of benefits, </w:t>
            </w:r>
            <w:r w:rsidR="006011D4">
              <w:rPr>
                <w:bCs/>
              </w:rPr>
              <w:t>updated by the pensions increase award when applicable.</w:t>
            </w:r>
          </w:p>
          <w:p w14:paraId="22DEE38E" w14:textId="1728AB0A" w:rsidR="006011D4" w:rsidRPr="00E3079E" w:rsidRDefault="000D743B" w:rsidP="00316485">
            <w:pPr>
              <w:rPr>
                <w:bCs/>
              </w:rPr>
            </w:pPr>
            <w:r>
              <w:rPr>
                <w:bCs/>
              </w:rPr>
              <w:t>Calculate and pay required benefits in line with the above timescales for retirement.</w:t>
            </w:r>
          </w:p>
        </w:tc>
      </w:tr>
    </w:tbl>
    <w:p w14:paraId="3CDF518E" w14:textId="4C321610" w:rsidR="00841D62" w:rsidRDefault="00841D62"/>
    <w:tbl>
      <w:tblPr>
        <w:tblStyle w:val="TableGrid"/>
        <w:tblW w:w="0" w:type="auto"/>
        <w:tblLook w:val="04A0" w:firstRow="1" w:lastRow="0" w:firstColumn="1" w:lastColumn="0" w:noHBand="0" w:noVBand="1"/>
      </w:tblPr>
      <w:tblGrid>
        <w:gridCol w:w="4940"/>
        <w:gridCol w:w="4940"/>
      </w:tblGrid>
      <w:tr w:rsidR="004F2AA8" w:rsidRPr="00E54B22" w14:paraId="325E04C2" w14:textId="77777777" w:rsidTr="00A10564">
        <w:tc>
          <w:tcPr>
            <w:tcW w:w="4940" w:type="dxa"/>
            <w:shd w:val="clear" w:color="auto" w:fill="000000" w:themeFill="text1"/>
          </w:tcPr>
          <w:p w14:paraId="0D29D431" w14:textId="77777777" w:rsidR="004F2AA8" w:rsidRPr="00E54B22" w:rsidRDefault="004F2AA8" w:rsidP="00E54B22">
            <w:pPr>
              <w:pStyle w:val="Default"/>
            </w:pPr>
            <w:r w:rsidRPr="00E54B22">
              <w:rPr>
                <w:b/>
                <w:color w:val="FFFFFF" w:themeColor="background1"/>
              </w:rPr>
              <w:t xml:space="preserve">Function/ task: </w:t>
            </w:r>
            <w:r>
              <w:rPr>
                <w:b/>
                <w:color w:val="FFFFFF" w:themeColor="background1"/>
              </w:rPr>
              <w:t>Death in service</w:t>
            </w:r>
          </w:p>
        </w:tc>
        <w:tc>
          <w:tcPr>
            <w:tcW w:w="4940" w:type="dxa"/>
            <w:shd w:val="clear" w:color="auto" w:fill="000000" w:themeFill="text1"/>
          </w:tcPr>
          <w:p w14:paraId="73AF97C3" w14:textId="7124003B" w:rsidR="004F2AA8" w:rsidRPr="00E54B22" w:rsidRDefault="004F2AA8" w:rsidP="00E54B22">
            <w:pPr>
              <w:pStyle w:val="Default"/>
            </w:pPr>
          </w:p>
        </w:tc>
      </w:tr>
      <w:tr w:rsidR="00ED02BF" w:rsidRPr="00E54B22" w14:paraId="2833B858" w14:textId="77777777" w:rsidTr="00E54B22">
        <w:tc>
          <w:tcPr>
            <w:tcW w:w="4940" w:type="dxa"/>
          </w:tcPr>
          <w:p w14:paraId="5BE95620" w14:textId="77777777" w:rsidR="00ED02BF" w:rsidRPr="00E54B22" w:rsidRDefault="00ED02BF" w:rsidP="00E54B22">
            <w:pPr>
              <w:pStyle w:val="Default"/>
            </w:pPr>
            <w:r w:rsidRPr="00E54B22">
              <w:rPr>
                <w:b/>
              </w:rPr>
              <w:t>Employer responsibility</w:t>
            </w:r>
          </w:p>
        </w:tc>
        <w:tc>
          <w:tcPr>
            <w:tcW w:w="4940" w:type="dxa"/>
          </w:tcPr>
          <w:p w14:paraId="2199E6B0" w14:textId="77777777" w:rsidR="00ED02BF" w:rsidRPr="00E54B22" w:rsidRDefault="00ED02BF" w:rsidP="00E54B22">
            <w:pPr>
              <w:pStyle w:val="Default"/>
            </w:pPr>
            <w:r w:rsidRPr="00E54B22">
              <w:rPr>
                <w:b/>
              </w:rPr>
              <w:t>Administrator responsibility</w:t>
            </w:r>
          </w:p>
        </w:tc>
      </w:tr>
      <w:tr w:rsidR="00ED02BF" w:rsidRPr="00E54B22" w14:paraId="7C5753B8" w14:textId="77777777" w:rsidTr="00E54B22">
        <w:tc>
          <w:tcPr>
            <w:tcW w:w="4940" w:type="dxa"/>
          </w:tcPr>
          <w:p w14:paraId="1BF4A7A2" w14:textId="1D6EAF93" w:rsidR="005E0D80" w:rsidRDefault="00ED02BF" w:rsidP="00316485">
            <w:r>
              <w:t xml:space="preserve">Inform the administrator </w:t>
            </w:r>
            <w:r w:rsidR="005722B8">
              <w:t>immediately following the death of a member</w:t>
            </w:r>
            <w:r w:rsidR="0091353B">
              <w:t xml:space="preserve"> using the appropriate means</w:t>
            </w:r>
            <w:r w:rsidR="00D438A7">
              <w:t xml:space="preserve">, providing details of the next of kin if known. </w:t>
            </w:r>
          </w:p>
          <w:p w14:paraId="22FFCDAD" w14:textId="7A449B78" w:rsidR="005E0D80" w:rsidRPr="00E3079E" w:rsidRDefault="005E0D80" w:rsidP="00316485">
            <w:r>
              <w:rPr>
                <w:szCs w:val="24"/>
              </w:rPr>
              <w:t>P</w:t>
            </w:r>
            <w:r w:rsidRPr="00316485">
              <w:rPr>
                <w:szCs w:val="24"/>
              </w:rPr>
              <w:t xml:space="preserve">ay any death grant due </w:t>
            </w:r>
            <w:r w:rsidRPr="00316485">
              <w:rPr>
                <w:szCs w:val="24"/>
                <w:highlight w:val="yellow"/>
              </w:rPr>
              <w:t>within 10 working days</w:t>
            </w:r>
            <w:r w:rsidRPr="00316485">
              <w:rPr>
                <w:szCs w:val="24"/>
              </w:rPr>
              <w:t xml:space="preserve"> of notification from </w:t>
            </w:r>
            <w:r>
              <w:rPr>
                <w:szCs w:val="24"/>
              </w:rPr>
              <w:t>the administrator.</w:t>
            </w:r>
          </w:p>
        </w:tc>
        <w:tc>
          <w:tcPr>
            <w:tcW w:w="4940" w:type="dxa"/>
          </w:tcPr>
          <w:p w14:paraId="57288EA6" w14:textId="0FA12EF0" w:rsidR="00241B2C" w:rsidRDefault="0091353B" w:rsidP="00316485">
            <w:r>
              <w:t xml:space="preserve">Send an acknowledgement letter to the next of kin </w:t>
            </w:r>
            <w:r w:rsidRPr="00E3079E">
              <w:rPr>
                <w:highlight w:val="yellow"/>
              </w:rPr>
              <w:t>within 5 working days</w:t>
            </w:r>
            <w:r>
              <w:t xml:space="preserve"> of notification of death. </w:t>
            </w:r>
          </w:p>
          <w:p w14:paraId="6CC4B659" w14:textId="0924E530" w:rsidR="00DA5F55" w:rsidRDefault="00241B2C" w:rsidP="00316485">
            <w:r>
              <w:t xml:space="preserve">Provide a letter to dependants confirming </w:t>
            </w:r>
            <w:r w:rsidR="00DA5F55">
              <w:t xml:space="preserve">the </w:t>
            </w:r>
            <w:r>
              <w:t xml:space="preserve">benefits payable </w:t>
            </w:r>
            <w:r w:rsidR="0073398D" w:rsidRPr="00E3079E">
              <w:rPr>
                <w:highlight w:val="yellow"/>
              </w:rPr>
              <w:t>within 5 working days</w:t>
            </w:r>
            <w:r w:rsidR="0073398D">
              <w:t xml:space="preserve"> of receiving all</w:t>
            </w:r>
            <w:r w:rsidR="00B00CC2">
              <w:t xml:space="preserve"> certificates, proof of identity, and </w:t>
            </w:r>
            <w:r w:rsidR="0073398D">
              <w:t>relevant completed forms</w:t>
            </w:r>
            <w:r w:rsidR="00DA5F55">
              <w:t xml:space="preserve">. </w:t>
            </w:r>
          </w:p>
          <w:p w14:paraId="0859117D" w14:textId="69484182" w:rsidR="00777339" w:rsidRDefault="007C075F" w:rsidP="00316485">
            <w:r>
              <w:t xml:space="preserve">Assist the FRA and the next of kin by ensuring that benefit options and payments are </w:t>
            </w:r>
            <w:r w:rsidR="002C41D3">
              <w:t xml:space="preserve">expedited in an appropriate </w:t>
            </w:r>
            <w:r w:rsidR="00612FC7">
              <w:t xml:space="preserve">and </w:t>
            </w:r>
            <w:r w:rsidR="00900E1B">
              <w:t xml:space="preserve">compassionate </w:t>
            </w:r>
            <w:r w:rsidR="002C41D3">
              <w:t>manner.</w:t>
            </w:r>
          </w:p>
          <w:p w14:paraId="4A821B1F" w14:textId="54808BF6" w:rsidR="008F1E5A" w:rsidRPr="00E3079E" w:rsidRDefault="00777339" w:rsidP="00316485">
            <w:r>
              <w:t>Review children’s pension</w:t>
            </w:r>
            <w:r w:rsidR="00182592">
              <w:t>s at age 18 or annually if continue in full time education to age 23.</w:t>
            </w:r>
          </w:p>
        </w:tc>
      </w:tr>
      <w:tr w:rsidR="004F2AA8" w:rsidRPr="00E54B22" w14:paraId="4016F710" w14:textId="77777777" w:rsidTr="00BE2181">
        <w:tc>
          <w:tcPr>
            <w:tcW w:w="4940" w:type="dxa"/>
            <w:shd w:val="clear" w:color="auto" w:fill="000000" w:themeFill="text1"/>
          </w:tcPr>
          <w:p w14:paraId="17142AF3" w14:textId="77777777" w:rsidR="004F2AA8" w:rsidRPr="00E54B22" w:rsidRDefault="004F2AA8" w:rsidP="00E54B22">
            <w:pPr>
              <w:pStyle w:val="Default"/>
            </w:pPr>
            <w:r w:rsidRPr="00E54B22">
              <w:rPr>
                <w:b/>
                <w:color w:val="FFFFFF" w:themeColor="background1"/>
              </w:rPr>
              <w:t xml:space="preserve">Function/ task: </w:t>
            </w:r>
            <w:r>
              <w:rPr>
                <w:b/>
                <w:color w:val="FFFFFF" w:themeColor="background1"/>
              </w:rPr>
              <w:t>Death on pension</w:t>
            </w:r>
          </w:p>
        </w:tc>
        <w:tc>
          <w:tcPr>
            <w:tcW w:w="4940" w:type="dxa"/>
            <w:shd w:val="clear" w:color="auto" w:fill="000000" w:themeFill="text1"/>
          </w:tcPr>
          <w:p w14:paraId="1F8157EE" w14:textId="06B2DEA6" w:rsidR="004F2AA8" w:rsidRPr="00E54B22" w:rsidRDefault="004F2AA8" w:rsidP="00E54B22">
            <w:pPr>
              <w:pStyle w:val="Default"/>
            </w:pPr>
          </w:p>
        </w:tc>
      </w:tr>
      <w:tr w:rsidR="00210B10" w:rsidRPr="00E54B22" w14:paraId="2477C338" w14:textId="77777777" w:rsidTr="00E54B22">
        <w:tc>
          <w:tcPr>
            <w:tcW w:w="4940" w:type="dxa"/>
          </w:tcPr>
          <w:p w14:paraId="4C110418" w14:textId="77777777" w:rsidR="00210B10" w:rsidRPr="00E54B22" w:rsidRDefault="00210B10" w:rsidP="00E54B22">
            <w:pPr>
              <w:pStyle w:val="Default"/>
            </w:pPr>
            <w:r w:rsidRPr="00E54B22">
              <w:rPr>
                <w:b/>
              </w:rPr>
              <w:t>Employer responsibility</w:t>
            </w:r>
          </w:p>
        </w:tc>
        <w:tc>
          <w:tcPr>
            <w:tcW w:w="4940" w:type="dxa"/>
          </w:tcPr>
          <w:p w14:paraId="43D6DA0B" w14:textId="77777777" w:rsidR="00210B10" w:rsidRPr="00E54B22" w:rsidRDefault="00210B10" w:rsidP="00E54B22">
            <w:pPr>
              <w:pStyle w:val="Default"/>
            </w:pPr>
            <w:r w:rsidRPr="00E54B22">
              <w:rPr>
                <w:b/>
              </w:rPr>
              <w:t>Administrator responsibility</w:t>
            </w:r>
          </w:p>
        </w:tc>
      </w:tr>
      <w:tr w:rsidR="00210B10" w:rsidRPr="00E54B22" w14:paraId="36AFBA0D" w14:textId="77777777" w:rsidTr="00E54B22">
        <w:tc>
          <w:tcPr>
            <w:tcW w:w="4940" w:type="dxa"/>
          </w:tcPr>
          <w:p w14:paraId="54255019" w14:textId="7848E3C3" w:rsidR="00210B10" w:rsidRPr="00E3079E" w:rsidRDefault="009311A1" w:rsidP="00E54B22">
            <w:pPr>
              <w:pStyle w:val="Default"/>
              <w:rPr>
                <w:bCs/>
              </w:rPr>
            </w:pPr>
            <w:r>
              <w:rPr>
                <w:bCs/>
              </w:rPr>
              <w:t xml:space="preserve">Where the FRA is made aware of the death of retired member, ensure that the administrator has been notified of the death to avoid overpayment of pension. </w:t>
            </w:r>
          </w:p>
        </w:tc>
        <w:tc>
          <w:tcPr>
            <w:tcW w:w="4940" w:type="dxa"/>
          </w:tcPr>
          <w:p w14:paraId="04DF656F" w14:textId="391F52B3" w:rsidR="009311A1" w:rsidRDefault="009311A1" w:rsidP="00316485">
            <w:r>
              <w:t xml:space="preserve">Send an acknowledgement letter to the next of kin </w:t>
            </w:r>
            <w:r w:rsidRPr="00E54B22">
              <w:rPr>
                <w:highlight w:val="yellow"/>
              </w:rPr>
              <w:t>within 5 working days</w:t>
            </w:r>
            <w:r>
              <w:t xml:space="preserve"> of notification of death. </w:t>
            </w:r>
          </w:p>
          <w:p w14:paraId="6C03F129" w14:textId="42BBED9A" w:rsidR="009311A1" w:rsidRDefault="009311A1" w:rsidP="00316485">
            <w:r>
              <w:t xml:space="preserve">Provide a letter to dependants confirming the benefits payable </w:t>
            </w:r>
            <w:r w:rsidRPr="00E54B22">
              <w:rPr>
                <w:highlight w:val="yellow"/>
              </w:rPr>
              <w:t>within 5 working days</w:t>
            </w:r>
            <w:r>
              <w:t xml:space="preserve"> of receiving all certificates, proof of identity, and relevant completed forms. </w:t>
            </w:r>
          </w:p>
          <w:p w14:paraId="618257BA" w14:textId="2251B6FA" w:rsidR="0089243A" w:rsidRDefault="0089243A" w:rsidP="00316485">
            <w:r w:rsidRPr="0089243A">
              <w:lastRenderedPageBreak/>
              <w:t>Where the administrator is made aware of the death of a retired member, ensure the employer has been notified of the death to enable records to be updated accordingly</w:t>
            </w:r>
            <w:r w:rsidR="00473782">
              <w:t>.</w:t>
            </w:r>
          </w:p>
          <w:p w14:paraId="367EB9EE" w14:textId="78FEC96D" w:rsidR="00210B10" w:rsidRPr="00E54B22" w:rsidRDefault="009311A1" w:rsidP="00316485">
            <w:pPr>
              <w:rPr>
                <w:b/>
              </w:rPr>
            </w:pPr>
            <w:r>
              <w:t>Assist the FRA and the next of kin by ensuring that benefit options and payments are expedited in an appropriate and compassionate manner.</w:t>
            </w:r>
          </w:p>
        </w:tc>
      </w:tr>
    </w:tbl>
    <w:p w14:paraId="38854512" w14:textId="40AEAFF8" w:rsidR="00841D62" w:rsidRDefault="00841D62"/>
    <w:tbl>
      <w:tblPr>
        <w:tblStyle w:val="TableGrid"/>
        <w:tblW w:w="0" w:type="auto"/>
        <w:tblLook w:val="04A0" w:firstRow="1" w:lastRow="0" w:firstColumn="1" w:lastColumn="0" w:noHBand="0" w:noVBand="1"/>
      </w:tblPr>
      <w:tblGrid>
        <w:gridCol w:w="4940"/>
        <w:gridCol w:w="4940"/>
      </w:tblGrid>
      <w:tr w:rsidR="004F2AA8" w:rsidRPr="00E54B22" w14:paraId="094F3A8B" w14:textId="77777777" w:rsidTr="00D71F33">
        <w:tc>
          <w:tcPr>
            <w:tcW w:w="4940" w:type="dxa"/>
            <w:shd w:val="clear" w:color="auto" w:fill="000000" w:themeFill="text1"/>
          </w:tcPr>
          <w:p w14:paraId="442D4974" w14:textId="77777777" w:rsidR="004F2AA8" w:rsidRPr="00E54B22" w:rsidRDefault="004F2AA8" w:rsidP="00E54B22">
            <w:pPr>
              <w:pStyle w:val="Default"/>
            </w:pPr>
            <w:r w:rsidRPr="00E54B22">
              <w:rPr>
                <w:b/>
                <w:color w:val="FFFFFF" w:themeColor="background1"/>
              </w:rPr>
              <w:t xml:space="preserve">Function/ task: </w:t>
            </w:r>
            <w:r>
              <w:rPr>
                <w:b/>
                <w:color w:val="FFFFFF" w:themeColor="background1"/>
              </w:rPr>
              <w:t>Purchase of added pension</w:t>
            </w:r>
          </w:p>
        </w:tc>
        <w:tc>
          <w:tcPr>
            <w:tcW w:w="4940" w:type="dxa"/>
            <w:shd w:val="clear" w:color="auto" w:fill="000000" w:themeFill="text1"/>
          </w:tcPr>
          <w:p w14:paraId="50A5F25A" w14:textId="2F17EEB4" w:rsidR="004F2AA8" w:rsidRPr="00E54B22" w:rsidRDefault="004F2AA8" w:rsidP="00E54B22">
            <w:pPr>
              <w:pStyle w:val="Default"/>
            </w:pPr>
          </w:p>
        </w:tc>
      </w:tr>
      <w:tr w:rsidR="008E049D" w:rsidRPr="00E54B22" w14:paraId="0436760F" w14:textId="77777777" w:rsidTr="00E54B22">
        <w:tc>
          <w:tcPr>
            <w:tcW w:w="4940" w:type="dxa"/>
          </w:tcPr>
          <w:p w14:paraId="3F85A3CA" w14:textId="77777777" w:rsidR="008E049D" w:rsidRPr="00E54B22" w:rsidRDefault="008E049D" w:rsidP="00E54B22">
            <w:pPr>
              <w:pStyle w:val="Default"/>
            </w:pPr>
            <w:r w:rsidRPr="00E54B22">
              <w:rPr>
                <w:b/>
              </w:rPr>
              <w:t>Employer responsibility</w:t>
            </w:r>
          </w:p>
        </w:tc>
        <w:tc>
          <w:tcPr>
            <w:tcW w:w="4940" w:type="dxa"/>
          </w:tcPr>
          <w:p w14:paraId="04E94631" w14:textId="77777777" w:rsidR="008E049D" w:rsidRPr="00E54B22" w:rsidRDefault="008E049D" w:rsidP="00E54B22">
            <w:pPr>
              <w:pStyle w:val="Default"/>
            </w:pPr>
            <w:r w:rsidRPr="00E54B22">
              <w:rPr>
                <w:b/>
              </w:rPr>
              <w:t>Administrator responsibility</w:t>
            </w:r>
          </w:p>
        </w:tc>
      </w:tr>
      <w:tr w:rsidR="000A14C8" w:rsidRPr="00E54B22" w14:paraId="3F660325" w14:textId="77777777" w:rsidTr="00E54B22">
        <w:tc>
          <w:tcPr>
            <w:tcW w:w="4940" w:type="dxa"/>
          </w:tcPr>
          <w:p w14:paraId="07D63B65" w14:textId="24284861" w:rsidR="001C4828" w:rsidRPr="00316485" w:rsidRDefault="006F4F6B" w:rsidP="00316485">
            <w:r w:rsidRPr="00316485">
              <w:t>Provide member with fact</w:t>
            </w:r>
            <w:r w:rsidR="001657B4" w:rsidRPr="00316485">
              <w:t xml:space="preserve">sheet and </w:t>
            </w:r>
            <w:r w:rsidR="003C65D3">
              <w:t>quotation</w:t>
            </w:r>
            <w:r w:rsidR="001657B4" w:rsidRPr="00316485">
              <w:t xml:space="preserve"> form on request.</w:t>
            </w:r>
            <w:r w:rsidR="001556D4">
              <w:t xml:space="preserve"> F</w:t>
            </w:r>
            <w:r w:rsidR="001657B4">
              <w:t>orm to be returned to the administrator.</w:t>
            </w:r>
          </w:p>
          <w:p w14:paraId="4B49C9D8" w14:textId="36792BA8" w:rsidR="001556D4" w:rsidRPr="00316485" w:rsidRDefault="001556D4" w:rsidP="00316485">
            <w:r w:rsidRPr="00316485">
              <w:t>Arrange payroll deductions as advised by administrator.</w:t>
            </w:r>
          </w:p>
        </w:tc>
        <w:tc>
          <w:tcPr>
            <w:tcW w:w="4940" w:type="dxa"/>
          </w:tcPr>
          <w:p w14:paraId="62D4716C" w14:textId="3376D5FC" w:rsidR="001556D4" w:rsidRDefault="001657B4" w:rsidP="00316485">
            <w:r>
              <w:t>Provide quote</w:t>
            </w:r>
            <w:r w:rsidR="001556D4">
              <w:t xml:space="preserve"> and election form</w:t>
            </w:r>
            <w:r>
              <w:t xml:space="preserve"> to member </w:t>
            </w:r>
            <w:r w:rsidRPr="00316485">
              <w:rPr>
                <w:highlight w:val="yellow"/>
              </w:rPr>
              <w:t xml:space="preserve">within 10 working </w:t>
            </w:r>
            <w:r w:rsidR="00117BF1" w:rsidRPr="00316485">
              <w:rPr>
                <w:highlight w:val="yellow"/>
              </w:rPr>
              <w:t>days</w:t>
            </w:r>
            <w:r w:rsidR="00117BF1">
              <w:t xml:space="preserve"> of receipt of </w:t>
            </w:r>
            <w:r w:rsidR="003C65D3">
              <w:t>completed request.</w:t>
            </w:r>
          </w:p>
          <w:p w14:paraId="610E95A3" w14:textId="75893A9C" w:rsidR="00D93E7F" w:rsidRDefault="001556D4" w:rsidP="00316485">
            <w:r>
              <w:t>Advise employer of start date of contract and deductions from pay.</w:t>
            </w:r>
          </w:p>
          <w:p w14:paraId="33FA9061" w14:textId="1060B2EA" w:rsidR="00EC3167" w:rsidRDefault="00EC3167" w:rsidP="00316485">
            <w:r>
              <w:t>Maintain a record of additional pension contracts.</w:t>
            </w:r>
          </w:p>
          <w:p w14:paraId="68D1458C" w14:textId="282F79A6" w:rsidR="00EC3167" w:rsidRPr="00316485" w:rsidRDefault="00EC3167" w:rsidP="00316485">
            <w:r>
              <w:t>Pay the relevant benefits alongside main scheme benefits at retirement/ transfer-out.</w:t>
            </w:r>
          </w:p>
        </w:tc>
      </w:tr>
    </w:tbl>
    <w:p w14:paraId="4D7C2C37" w14:textId="559B141A" w:rsidR="006E2292" w:rsidRDefault="006E2292" w:rsidP="00316485">
      <w:pPr>
        <w:pStyle w:val="Heading1"/>
      </w:pPr>
      <w:bookmarkStart w:id="170" w:name="_Toc44062653"/>
      <w:bookmarkStart w:id="171" w:name="_Toc44062834"/>
      <w:bookmarkStart w:id="172" w:name="_Appendix_1._Standard"/>
      <w:bookmarkStart w:id="173" w:name="_Toc44062654"/>
      <w:bookmarkStart w:id="174" w:name="_Toc44062835"/>
      <w:bookmarkStart w:id="175" w:name="_Toc75332418"/>
      <w:bookmarkEnd w:id="170"/>
      <w:bookmarkEnd w:id="171"/>
      <w:bookmarkEnd w:id="172"/>
      <w:bookmarkEnd w:id="173"/>
      <w:bookmarkEnd w:id="174"/>
      <w:r>
        <w:t xml:space="preserve">Local Pension Board </w:t>
      </w:r>
      <w:r w:rsidRPr="007016E8">
        <w:t>responsibilities</w:t>
      </w:r>
      <w:bookmarkEnd w:id="175"/>
      <w:r>
        <w:t xml:space="preserve"> </w:t>
      </w:r>
    </w:p>
    <w:p w14:paraId="6B59A407" w14:textId="38F3F4DD" w:rsidR="006E2292" w:rsidRDefault="006E2292" w:rsidP="00316485">
      <w:r w:rsidRPr="00943BE3">
        <w:t>Local Pension Boards</w:t>
      </w:r>
      <w:r w:rsidR="00335DF8">
        <w:t xml:space="preserve"> </w:t>
      </w:r>
      <w:r w:rsidRPr="00943BE3">
        <w:t>were required to</w:t>
      </w:r>
      <w:r w:rsidR="00335DF8">
        <w:t xml:space="preserve"> </w:t>
      </w:r>
      <w:r w:rsidRPr="00943BE3">
        <w:t>be established by the 1 April 2015 under the provisions of</w:t>
      </w:r>
      <w:r w:rsidR="00335DF8">
        <w:t xml:space="preserve"> </w:t>
      </w:r>
      <w:hyperlink r:id="rId47" w:tgtFrame="_blank" w:tooltip="Public Service Pensions Act 2013" w:history="1">
        <w:r w:rsidRPr="00943BE3">
          <w:rPr>
            <w:rStyle w:val="Hyperlink"/>
          </w:rPr>
          <w:t>Section 5 of the Public Service Pensions Act 2013 </w:t>
        </w:r>
      </w:hyperlink>
      <w:r w:rsidRPr="00943BE3">
        <w:t>and regulation 4A of</w:t>
      </w:r>
      <w:r w:rsidR="00335DF8">
        <w:t xml:space="preserve"> </w:t>
      </w:r>
      <w:hyperlink r:id="rId48" w:tgtFrame="_blank" w:tooltip="The Firefighters’ Pension Scheme (Amendment) (Governance) Regulations 2015" w:history="1">
        <w:r w:rsidRPr="00943BE3">
          <w:rPr>
            <w:rStyle w:val="Hyperlink"/>
          </w:rPr>
          <w:t>The Firefighters’ Pension Scheme (Amendment) (Governance) Regulations 2015</w:t>
        </w:r>
      </w:hyperlink>
      <w:r>
        <w:t>.</w:t>
      </w:r>
    </w:p>
    <w:p w14:paraId="542C030D" w14:textId="6B756FF1" w:rsidR="006E2292" w:rsidRDefault="006E2292" w:rsidP="006E2292">
      <w:r>
        <w:t>The regulations state that each FRA must have an equal number of employer and member representatives, with a minimum of four members in total. Members are expected to have a sufficient degree of knowledge and understanding of the pension scheme to allow them to fulfil their role, which is to assist the scheme manager in complying with the pension scheme rules.</w:t>
      </w:r>
    </w:p>
    <w:p w14:paraId="773612F3" w14:textId="5913EEF7" w:rsidR="006E2292" w:rsidRDefault="006E2292" w:rsidP="006E2292">
      <w:r>
        <w:t xml:space="preserve">The LGA Bluelight pensions team can provide annual </w:t>
      </w:r>
      <w:hyperlink r:id="rId49" w:history="1">
        <w:r w:rsidRPr="00C00F99">
          <w:rPr>
            <w:rStyle w:val="Hyperlink"/>
          </w:rPr>
          <w:t>training</w:t>
        </w:r>
      </w:hyperlink>
      <w:r>
        <w:t xml:space="preserve"> for boards at a local or regional level. TPR also offers a series of courses on the </w:t>
      </w:r>
      <w:hyperlink r:id="rId50" w:history="1">
        <w:r w:rsidRPr="00BC316C">
          <w:rPr>
            <w:rStyle w:val="Hyperlink"/>
          </w:rPr>
          <w:t>Public Service toolkit</w:t>
        </w:r>
      </w:hyperlink>
      <w:r>
        <w:t xml:space="preserve">, to help those involved in scheme governance to improve their knowledge. </w:t>
      </w:r>
    </w:p>
    <w:p w14:paraId="7081F766" w14:textId="77777777" w:rsidR="006E2292" w:rsidRDefault="006E2292" w:rsidP="006E2292">
      <w:r>
        <w:t xml:space="preserve">The Firefighter’s Pensions (England) Scheme Advisory Board (SAB) website holds a range of </w:t>
      </w:r>
      <w:hyperlink r:id="rId51" w:history="1">
        <w:r w:rsidRPr="009D6B9B">
          <w:rPr>
            <w:rStyle w:val="Hyperlink"/>
          </w:rPr>
          <w:t>resources</w:t>
        </w:r>
      </w:hyperlink>
      <w:r>
        <w:t xml:space="preserve"> </w:t>
      </w:r>
      <w:r w:rsidRPr="00604147">
        <w:t>that have been developed to facilitate the effective running of Local Pension Boards.</w:t>
      </w:r>
    </w:p>
    <w:p w14:paraId="5A60C4D2" w14:textId="77777777" w:rsidR="00C30CE6" w:rsidRDefault="00C30CE6">
      <w:pPr>
        <w:spacing w:after="0"/>
        <w:rPr>
          <w:rFonts w:ascii="Impact" w:hAnsi="Impact" w:cs="Impact"/>
          <w:color w:val="244B9A"/>
          <w:sz w:val="40"/>
          <w:szCs w:val="32"/>
          <w:highlight w:val="lightGray"/>
        </w:rPr>
      </w:pPr>
      <w:r>
        <w:rPr>
          <w:highlight w:val="lightGray"/>
        </w:rPr>
        <w:br w:type="page"/>
      </w:r>
    </w:p>
    <w:p w14:paraId="57C6A2A9" w14:textId="22DEDA13" w:rsidR="00841D62" w:rsidRDefault="00841D62" w:rsidP="00316485">
      <w:pPr>
        <w:pStyle w:val="Heading1"/>
        <w:numPr>
          <w:ilvl w:val="0"/>
          <w:numId w:val="0"/>
        </w:numPr>
      </w:pPr>
      <w:bookmarkStart w:id="176" w:name="_Toc75332419"/>
      <w:r>
        <w:lastRenderedPageBreak/>
        <w:t>Appendix 1. Standard timescales</w:t>
      </w:r>
      <w:bookmarkEnd w:id="176"/>
    </w:p>
    <w:p w14:paraId="6DAB5F2F" w14:textId="34B84897" w:rsidR="00717453" w:rsidRPr="00316485" w:rsidRDefault="00717453" w:rsidP="00717453">
      <w:r w:rsidRPr="00E54B22">
        <w:t>Minimum standards for completing task</w:t>
      </w:r>
      <w:r>
        <w:t>s</w:t>
      </w:r>
      <w:r w:rsidRPr="00E54B22">
        <w:t xml:space="preserve"> in line with industry good practice and regulations, where applicable</w:t>
      </w:r>
      <w:r>
        <w:t xml:space="preserve">. These are provided as a guide to the minimum requirements. </w:t>
      </w:r>
      <w:r w:rsidR="00BE6EED">
        <w:t xml:space="preserve">Any tasks with statutory deadlines have been flagged. </w:t>
      </w:r>
      <w:r>
        <w:t xml:space="preserve">As a matter of best practice, administrators may want to implement shorter local timescales. </w:t>
      </w:r>
    </w:p>
    <w:p w14:paraId="291D9BEF" w14:textId="1E33064F" w:rsidR="00B53938" w:rsidRDefault="00A074F7" w:rsidP="00B53938">
      <w:r>
        <w:t xml:space="preserve">Please see </w:t>
      </w:r>
      <w:hyperlink w:anchor="_Performance_reporting_1" w:history="1">
        <w:r w:rsidR="00957F1F">
          <w:rPr>
            <w:rStyle w:val="Hyperlink"/>
          </w:rPr>
          <w:t>8 Performance reporting</w:t>
        </w:r>
      </w:hyperlink>
      <w:r w:rsidR="0086336F">
        <w:t xml:space="preserve"> for more information. </w:t>
      </w:r>
    </w:p>
    <w:p w14:paraId="03DC1296" w14:textId="552FFACD" w:rsidR="00BE6EED" w:rsidRDefault="006E3E68" w:rsidP="00B53938">
      <w:r>
        <w:t>Local arrangements between the FRA and administrator and in line with SLAs will override any suggested standard timescales.</w:t>
      </w:r>
    </w:p>
    <w:tbl>
      <w:tblPr>
        <w:tblStyle w:val="TableGrid"/>
        <w:tblW w:w="5000" w:type="pct"/>
        <w:tblLook w:val="04A0" w:firstRow="1" w:lastRow="0" w:firstColumn="1" w:lastColumn="0" w:noHBand="0" w:noVBand="1"/>
      </w:tblPr>
      <w:tblGrid>
        <w:gridCol w:w="3312"/>
        <w:gridCol w:w="3284"/>
        <w:gridCol w:w="3284"/>
      </w:tblGrid>
      <w:tr w:rsidR="00932657" w14:paraId="10EE971A" w14:textId="2A17CE6A" w:rsidTr="00405329">
        <w:tc>
          <w:tcPr>
            <w:tcW w:w="1676" w:type="pct"/>
          </w:tcPr>
          <w:p w14:paraId="5212AE1E" w14:textId="2DAF75C2" w:rsidR="00932657" w:rsidRPr="00E3079E" w:rsidRDefault="00932657" w:rsidP="00C22F7F">
            <w:pPr>
              <w:rPr>
                <w:b/>
                <w:bCs/>
              </w:rPr>
            </w:pPr>
            <w:proofErr w:type="gramStart"/>
            <w:r w:rsidRPr="00E3079E">
              <w:rPr>
                <w:b/>
                <w:bCs/>
              </w:rPr>
              <w:t>Work</w:t>
            </w:r>
            <w:r>
              <w:rPr>
                <w:b/>
                <w:bCs/>
              </w:rPr>
              <w:t>-</w:t>
            </w:r>
            <w:r w:rsidRPr="00E3079E">
              <w:rPr>
                <w:b/>
                <w:bCs/>
              </w:rPr>
              <w:t>flow</w:t>
            </w:r>
            <w:proofErr w:type="gramEnd"/>
            <w:r>
              <w:rPr>
                <w:b/>
                <w:bCs/>
              </w:rPr>
              <w:t>/ task</w:t>
            </w:r>
          </w:p>
        </w:tc>
        <w:tc>
          <w:tcPr>
            <w:tcW w:w="1662" w:type="pct"/>
          </w:tcPr>
          <w:p w14:paraId="31AE909D" w14:textId="3CDBA04F" w:rsidR="00932657" w:rsidRPr="00E3079E" w:rsidRDefault="00932657" w:rsidP="00C22F7F">
            <w:pPr>
              <w:rPr>
                <w:b/>
                <w:bCs/>
              </w:rPr>
            </w:pPr>
            <w:r w:rsidRPr="00E3079E">
              <w:rPr>
                <w:b/>
                <w:bCs/>
              </w:rPr>
              <w:t>Standard</w:t>
            </w:r>
            <w:r>
              <w:rPr>
                <w:b/>
                <w:bCs/>
              </w:rPr>
              <w:t xml:space="preserve"> </w:t>
            </w:r>
            <w:r w:rsidRPr="00316485">
              <w:t>(working days)</w:t>
            </w:r>
          </w:p>
        </w:tc>
        <w:tc>
          <w:tcPr>
            <w:tcW w:w="1662" w:type="pct"/>
          </w:tcPr>
          <w:p w14:paraId="6E56939E" w14:textId="62A64FCE" w:rsidR="00932657" w:rsidRPr="00E3079E" w:rsidRDefault="00932657" w:rsidP="00C22F7F">
            <w:pPr>
              <w:rPr>
                <w:b/>
                <w:bCs/>
              </w:rPr>
            </w:pPr>
            <w:r>
              <w:rPr>
                <w:b/>
                <w:bCs/>
              </w:rPr>
              <w:t>Statutory</w:t>
            </w:r>
          </w:p>
        </w:tc>
      </w:tr>
      <w:tr w:rsidR="00932657" w14:paraId="7F19EA38" w14:textId="23A2D2A8" w:rsidTr="00405329">
        <w:tc>
          <w:tcPr>
            <w:tcW w:w="1676" w:type="pct"/>
          </w:tcPr>
          <w:p w14:paraId="2C277F89" w14:textId="2685BBB3" w:rsidR="00932657" w:rsidRDefault="00932657" w:rsidP="00C22F7F">
            <w:r>
              <w:t>Respond to queries</w:t>
            </w:r>
            <w:r w:rsidR="00957F1F">
              <w:t xml:space="preserve"> from </w:t>
            </w:r>
            <w:r w:rsidR="00457747">
              <w:t xml:space="preserve">scheme members </w:t>
            </w:r>
            <w:r w:rsidR="00994BAC">
              <w:t>or the FRA/ administrator</w:t>
            </w:r>
          </w:p>
        </w:tc>
        <w:tc>
          <w:tcPr>
            <w:tcW w:w="1662" w:type="pct"/>
          </w:tcPr>
          <w:p w14:paraId="0254825D" w14:textId="5CD82D06" w:rsidR="00932657" w:rsidRDefault="00932657" w:rsidP="00C22F7F">
            <w:r>
              <w:t>5 days</w:t>
            </w:r>
          </w:p>
        </w:tc>
        <w:tc>
          <w:tcPr>
            <w:tcW w:w="1662" w:type="pct"/>
          </w:tcPr>
          <w:p w14:paraId="38784F86" w14:textId="294A6EF7" w:rsidR="00932657" w:rsidRDefault="00932657" w:rsidP="00C22F7F">
            <w:r>
              <w:t>No</w:t>
            </w:r>
          </w:p>
        </w:tc>
      </w:tr>
      <w:tr w:rsidR="00932657" w14:paraId="46C89149" w14:textId="50246461" w:rsidTr="00405329">
        <w:tc>
          <w:tcPr>
            <w:tcW w:w="1676" w:type="pct"/>
          </w:tcPr>
          <w:p w14:paraId="203B6EA5" w14:textId="73163894" w:rsidR="00932657" w:rsidRDefault="00932657" w:rsidP="00C22F7F">
            <w:r>
              <w:t>New starters processed</w:t>
            </w:r>
          </w:p>
        </w:tc>
        <w:tc>
          <w:tcPr>
            <w:tcW w:w="1662" w:type="pct"/>
          </w:tcPr>
          <w:p w14:paraId="23106392" w14:textId="691C6E3E" w:rsidR="00932657" w:rsidRDefault="00932657" w:rsidP="00C22F7F">
            <w:r>
              <w:t>10 days</w:t>
            </w:r>
          </w:p>
        </w:tc>
        <w:tc>
          <w:tcPr>
            <w:tcW w:w="1662" w:type="pct"/>
          </w:tcPr>
          <w:p w14:paraId="1F2BC910" w14:textId="61D7E4C9" w:rsidR="00932657" w:rsidRDefault="004572A1" w:rsidP="00C22F7F">
            <w:r>
              <w:t>2 months</w:t>
            </w:r>
          </w:p>
        </w:tc>
      </w:tr>
      <w:tr w:rsidR="00932657" w14:paraId="10D734CB" w14:textId="06169FBC" w:rsidTr="00405329">
        <w:tc>
          <w:tcPr>
            <w:tcW w:w="1676" w:type="pct"/>
          </w:tcPr>
          <w:p w14:paraId="177A6EAB" w14:textId="4580166B" w:rsidR="00932657" w:rsidRDefault="00932657" w:rsidP="00C22F7F">
            <w:r>
              <w:t>Changes in details processed</w:t>
            </w:r>
          </w:p>
        </w:tc>
        <w:tc>
          <w:tcPr>
            <w:tcW w:w="1662" w:type="pct"/>
          </w:tcPr>
          <w:p w14:paraId="4EF46518" w14:textId="45BA1273" w:rsidR="00932657" w:rsidRDefault="00932657" w:rsidP="00C22F7F">
            <w:r>
              <w:t>10 days</w:t>
            </w:r>
          </w:p>
        </w:tc>
        <w:tc>
          <w:tcPr>
            <w:tcW w:w="1662" w:type="pct"/>
          </w:tcPr>
          <w:p w14:paraId="2CFA9A88" w14:textId="2763ABBE" w:rsidR="00932657" w:rsidRDefault="00932657" w:rsidP="00C22F7F">
            <w:r>
              <w:t>No</w:t>
            </w:r>
          </w:p>
        </w:tc>
      </w:tr>
      <w:tr w:rsidR="00932657" w14:paraId="26E53938" w14:textId="0CA4A32B" w:rsidTr="00405329">
        <w:tc>
          <w:tcPr>
            <w:tcW w:w="1676" w:type="pct"/>
          </w:tcPr>
          <w:p w14:paraId="74B86859" w14:textId="549B1696" w:rsidR="00932657" w:rsidRDefault="00932657" w:rsidP="00C22F7F">
            <w:r>
              <w:t>Active ABS issued</w:t>
            </w:r>
          </w:p>
        </w:tc>
        <w:tc>
          <w:tcPr>
            <w:tcW w:w="1662" w:type="pct"/>
          </w:tcPr>
          <w:p w14:paraId="61880894" w14:textId="737E81F0" w:rsidR="00932657" w:rsidRDefault="00932657" w:rsidP="00C22F7F">
            <w:r>
              <w:t xml:space="preserve">31 August </w:t>
            </w:r>
            <w:r w:rsidR="00DB1D57">
              <w:t>(</w:t>
            </w:r>
            <w:r>
              <w:t>where year-end on time</w:t>
            </w:r>
            <w:r w:rsidR="00DB1D57">
              <w:t>)</w:t>
            </w:r>
          </w:p>
        </w:tc>
        <w:tc>
          <w:tcPr>
            <w:tcW w:w="1662" w:type="pct"/>
          </w:tcPr>
          <w:p w14:paraId="231451C2" w14:textId="02C4BAB4" w:rsidR="00932657" w:rsidRDefault="00932657" w:rsidP="00C22F7F">
            <w:r>
              <w:t>Yes</w:t>
            </w:r>
          </w:p>
        </w:tc>
      </w:tr>
      <w:tr w:rsidR="00932657" w14:paraId="2471ED43" w14:textId="3AFE541B" w:rsidTr="00405329">
        <w:tc>
          <w:tcPr>
            <w:tcW w:w="1676" w:type="pct"/>
          </w:tcPr>
          <w:p w14:paraId="6A82031D" w14:textId="07D02FBE" w:rsidR="00932657" w:rsidRDefault="00932657" w:rsidP="00C22F7F">
            <w:r>
              <w:t>Deferred ABS issued</w:t>
            </w:r>
          </w:p>
        </w:tc>
        <w:tc>
          <w:tcPr>
            <w:tcW w:w="1662" w:type="pct"/>
          </w:tcPr>
          <w:p w14:paraId="18BE5C8F" w14:textId="554B7F3C" w:rsidR="00932657" w:rsidRDefault="00932657" w:rsidP="00C22F7F">
            <w:r>
              <w:t>31 May</w:t>
            </w:r>
            <w:r w:rsidR="003F5C63">
              <w:t xml:space="preserve"> (or in line with active ABS)</w:t>
            </w:r>
          </w:p>
        </w:tc>
        <w:tc>
          <w:tcPr>
            <w:tcW w:w="1662" w:type="pct"/>
          </w:tcPr>
          <w:p w14:paraId="49ED7530" w14:textId="674FE7A7" w:rsidR="00932657" w:rsidRDefault="00932657" w:rsidP="00C22F7F">
            <w:r>
              <w:t>Yes</w:t>
            </w:r>
          </w:p>
        </w:tc>
      </w:tr>
      <w:tr w:rsidR="00932657" w14:paraId="39BADA06" w14:textId="1A143B12" w:rsidTr="00405329">
        <w:tc>
          <w:tcPr>
            <w:tcW w:w="1676" w:type="pct"/>
          </w:tcPr>
          <w:p w14:paraId="0390F368" w14:textId="72D32FE2" w:rsidR="00932657" w:rsidRDefault="00932657" w:rsidP="00C22F7F">
            <w:r>
              <w:t>Year-end queries to FRA</w:t>
            </w:r>
          </w:p>
        </w:tc>
        <w:tc>
          <w:tcPr>
            <w:tcW w:w="1662" w:type="pct"/>
          </w:tcPr>
          <w:p w14:paraId="6AD6805F" w14:textId="793DAB42" w:rsidR="00932657" w:rsidRDefault="00932657" w:rsidP="00C22F7F">
            <w:r>
              <w:t>1 month</w:t>
            </w:r>
          </w:p>
        </w:tc>
        <w:tc>
          <w:tcPr>
            <w:tcW w:w="1662" w:type="pct"/>
          </w:tcPr>
          <w:p w14:paraId="152AE80D" w14:textId="0FAE5AC2" w:rsidR="00932657" w:rsidRDefault="00932657" w:rsidP="00C22F7F">
            <w:r>
              <w:t>No</w:t>
            </w:r>
          </w:p>
        </w:tc>
      </w:tr>
      <w:tr w:rsidR="00932657" w14:paraId="43454A3F" w14:textId="3E72182E" w:rsidTr="00405329">
        <w:tc>
          <w:tcPr>
            <w:tcW w:w="1676" w:type="pct"/>
          </w:tcPr>
          <w:p w14:paraId="5802CFAE" w14:textId="19A5133F" w:rsidR="00932657" w:rsidRDefault="00932657" w:rsidP="00C22F7F">
            <w:r>
              <w:t>Pension saving statements</w:t>
            </w:r>
          </w:p>
        </w:tc>
        <w:tc>
          <w:tcPr>
            <w:tcW w:w="1662" w:type="pct"/>
          </w:tcPr>
          <w:p w14:paraId="7EE63B65" w14:textId="403B48A0" w:rsidR="00932657" w:rsidRDefault="00932657" w:rsidP="00C22F7F">
            <w:r>
              <w:t xml:space="preserve">6 October </w:t>
            </w:r>
          </w:p>
        </w:tc>
        <w:tc>
          <w:tcPr>
            <w:tcW w:w="1662" w:type="pct"/>
          </w:tcPr>
          <w:p w14:paraId="3A1682D7" w14:textId="10BE45D5" w:rsidR="00932657" w:rsidRDefault="00932657" w:rsidP="00C22F7F">
            <w:r>
              <w:t>Yes</w:t>
            </w:r>
          </w:p>
        </w:tc>
      </w:tr>
      <w:tr w:rsidR="001B271B" w14:paraId="5A14C7FB" w14:textId="77777777" w:rsidTr="00932657">
        <w:tc>
          <w:tcPr>
            <w:tcW w:w="1676" w:type="pct"/>
          </w:tcPr>
          <w:p w14:paraId="47D66D19" w14:textId="6F8B6F42" w:rsidR="001B271B" w:rsidRDefault="001B271B" w:rsidP="00C22F7F">
            <w:r>
              <w:t>Retirement estimates</w:t>
            </w:r>
          </w:p>
        </w:tc>
        <w:tc>
          <w:tcPr>
            <w:tcW w:w="1662" w:type="pct"/>
          </w:tcPr>
          <w:p w14:paraId="08242EA1" w14:textId="6CE107D8" w:rsidR="001B271B" w:rsidRDefault="001B271B" w:rsidP="00C22F7F">
            <w:r>
              <w:t>10 days</w:t>
            </w:r>
          </w:p>
        </w:tc>
        <w:tc>
          <w:tcPr>
            <w:tcW w:w="1662" w:type="pct"/>
          </w:tcPr>
          <w:p w14:paraId="6F1D8218" w14:textId="0F1035FE" w:rsidR="001B271B" w:rsidRDefault="001B271B" w:rsidP="00C22F7F">
            <w:r>
              <w:t>No</w:t>
            </w:r>
          </w:p>
        </w:tc>
      </w:tr>
      <w:tr w:rsidR="00932657" w14:paraId="1F82106F" w14:textId="7456159B" w:rsidTr="00405329">
        <w:tc>
          <w:tcPr>
            <w:tcW w:w="1676" w:type="pct"/>
          </w:tcPr>
          <w:p w14:paraId="77C72B92" w14:textId="77854D59" w:rsidR="00932657" w:rsidRDefault="00932657" w:rsidP="00C22F7F">
            <w:r>
              <w:t>Divorce estimates</w:t>
            </w:r>
          </w:p>
        </w:tc>
        <w:tc>
          <w:tcPr>
            <w:tcW w:w="1662" w:type="pct"/>
          </w:tcPr>
          <w:p w14:paraId="2EDF6857" w14:textId="3056C54D" w:rsidR="00932657" w:rsidRDefault="00932657" w:rsidP="00C22F7F">
            <w:r>
              <w:t>10 days</w:t>
            </w:r>
          </w:p>
        </w:tc>
        <w:tc>
          <w:tcPr>
            <w:tcW w:w="1662" w:type="pct"/>
          </w:tcPr>
          <w:p w14:paraId="2587CB54" w14:textId="2A184EE5" w:rsidR="00932657" w:rsidRDefault="000E6564" w:rsidP="00C22F7F">
            <w:r>
              <w:t>3 months</w:t>
            </w:r>
          </w:p>
        </w:tc>
      </w:tr>
      <w:tr w:rsidR="00932657" w14:paraId="543F7DD7" w14:textId="6C2E9B40" w:rsidTr="00405329">
        <w:tc>
          <w:tcPr>
            <w:tcW w:w="1676" w:type="pct"/>
          </w:tcPr>
          <w:p w14:paraId="0BCE751B" w14:textId="57B3EBF9" w:rsidR="00932657" w:rsidRDefault="00932657" w:rsidP="00C22F7F">
            <w:r>
              <w:t>Transfers in</w:t>
            </w:r>
          </w:p>
        </w:tc>
        <w:tc>
          <w:tcPr>
            <w:tcW w:w="1662" w:type="pct"/>
          </w:tcPr>
          <w:p w14:paraId="0A6F363F" w14:textId="2208B990" w:rsidR="00932657" w:rsidRDefault="00932657" w:rsidP="00C22F7F">
            <w:r>
              <w:t>15 days</w:t>
            </w:r>
          </w:p>
        </w:tc>
        <w:tc>
          <w:tcPr>
            <w:tcW w:w="1662" w:type="pct"/>
          </w:tcPr>
          <w:p w14:paraId="5306D225" w14:textId="48FB389B" w:rsidR="00932657" w:rsidRDefault="00A7003B" w:rsidP="00C22F7F">
            <w:r>
              <w:t>2 months</w:t>
            </w:r>
          </w:p>
        </w:tc>
      </w:tr>
      <w:tr w:rsidR="00932657" w14:paraId="40BBB58C" w14:textId="3D2D74EB" w:rsidTr="00405329">
        <w:tc>
          <w:tcPr>
            <w:tcW w:w="1676" w:type="pct"/>
          </w:tcPr>
          <w:p w14:paraId="2AEA5247" w14:textId="17147B59" w:rsidR="00932657" w:rsidRDefault="00932657" w:rsidP="00C22F7F">
            <w:r>
              <w:t>Transfer out estimates</w:t>
            </w:r>
          </w:p>
        </w:tc>
        <w:tc>
          <w:tcPr>
            <w:tcW w:w="1662" w:type="pct"/>
          </w:tcPr>
          <w:p w14:paraId="7A632516" w14:textId="1545C9B7" w:rsidR="00932657" w:rsidRDefault="00932657" w:rsidP="00C22F7F">
            <w:r>
              <w:t>10 days</w:t>
            </w:r>
          </w:p>
        </w:tc>
        <w:tc>
          <w:tcPr>
            <w:tcW w:w="1662" w:type="pct"/>
          </w:tcPr>
          <w:p w14:paraId="13EB2268" w14:textId="0FEAC99F" w:rsidR="00932657" w:rsidRDefault="00664A1A" w:rsidP="00C22F7F">
            <w:r>
              <w:t>3 months</w:t>
            </w:r>
          </w:p>
        </w:tc>
      </w:tr>
      <w:tr w:rsidR="00932657" w14:paraId="74A3724B" w14:textId="2306D2C3" w:rsidTr="00405329">
        <w:tc>
          <w:tcPr>
            <w:tcW w:w="1676" w:type="pct"/>
          </w:tcPr>
          <w:p w14:paraId="4BC166F3" w14:textId="0A15375F" w:rsidR="00932657" w:rsidRDefault="00932657" w:rsidP="00C22F7F">
            <w:r>
              <w:t>Transfers out</w:t>
            </w:r>
          </w:p>
        </w:tc>
        <w:tc>
          <w:tcPr>
            <w:tcW w:w="1662" w:type="pct"/>
          </w:tcPr>
          <w:p w14:paraId="55974321" w14:textId="31B05BAC" w:rsidR="00932657" w:rsidRDefault="00932657" w:rsidP="00C22F7F">
            <w:r>
              <w:t>10 days</w:t>
            </w:r>
          </w:p>
        </w:tc>
        <w:tc>
          <w:tcPr>
            <w:tcW w:w="1662" w:type="pct"/>
          </w:tcPr>
          <w:p w14:paraId="57D0502A" w14:textId="69E43DC3" w:rsidR="00932657" w:rsidRDefault="0051758B" w:rsidP="00C22F7F">
            <w:r>
              <w:t>6 months</w:t>
            </w:r>
          </w:p>
        </w:tc>
      </w:tr>
      <w:tr w:rsidR="00932657" w14:paraId="00AAC85F" w14:textId="3A48A94A" w:rsidTr="00405329">
        <w:tc>
          <w:tcPr>
            <w:tcW w:w="1676" w:type="pct"/>
          </w:tcPr>
          <w:p w14:paraId="39451C8E" w14:textId="149E797A" w:rsidR="00932657" w:rsidRDefault="00932657" w:rsidP="00C22F7F">
            <w:r>
              <w:t xml:space="preserve">Refunds paid </w:t>
            </w:r>
          </w:p>
        </w:tc>
        <w:tc>
          <w:tcPr>
            <w:tcW w:w="1662" w:type="pct"/>
          </w:tcPr>
          <w:p w14:paraId="2B653BAB" w14:textId="0F68C645" w:rsidR="00932657" w:rsidRDefault="00932657" w:rsidP="00C22F7F">
            <w:r>
              <w:t>5 days</w:t>
            </w:r>
          </w:p>
        </w:tc>
        <w:tc>
          <w:tcPr>
            <w:tcW w:w="1662" w:type="pct"/>
          </w:tcPr>
          <w:p w14:paraId="10933BE0" w14:textId="75E26D54" w:rsidR="00932657" w:rsidRDefault="00085483" w:rsidP="00C22F7F">
            <w:r>
              <w:t>2 months</w:t>
            </w:r>
          </w:p>
        </w:tc>
      </w:tr>
      <w:tr w:rsidR="00932657" w14:paraId="7046A17F" w14:textId="25A95A43" w:rsidTr="00405329">
        <w:tc>
          <w:tcPr>
            <w:tcW w:w="1676" w:type="pct"/>
          </w:tcPr>
          <w:p w14:paraId="087E0D28" w14:textId="440E50E0" w:rsidR="00932657" w:rsidRDefault="00932657" w:rsidP="00C22F7F">
            <w:r>
              <w:t>Deferred benefits calculated</w:t>
            </w:r>
          </w:p>
        </w:tc>
        <w:tc>
          <w:tcPr>
            <w:tcW w:w="1662" w:type="pct"/>
          </w:tcPr>
          <w:p w14:paraId="66CB7B6A" w14:textId="161E7091" w:rsidR="00932657" w:rsidRDefault="00932657" w:rsidP="00C22F7F">
            <w:r>
              <w:t>2 months</w:t>
            </w:r>
          </w:p>
        </w:tc>
        <w:tc>
          <w:tcPr>
            <w:tcW w:w="1662" w:type="pct"/>
          </w:tcPr>
          <w:p w14:paraId="6CF87B6D" w14:textId="76594D54" w:rsidR="00932657" w:rsidRDefault="00085483" w:rsidP="00C22F7F">
            <w:r>
              <w:t>Yes</w:t>
            </w:r>
          </w:p>
        </w:tc>
      </w:tr>
      <w:tr w:rsidR="00932657" w14:paraId="3CD7F769" w14:textId="02DD21FC" w:rsidTr="00405329">
        <w:tc>
          <w:tcPr>
            <w:tcW w:w="1676" w:type="pct"/>
          </w:tcPr>
          <w:p w14:paraId="0477C90D" w14:textId="18A07AB6" w:rsidR="00932657" w:rsidRDefault="00932657" w:rsidP="00C22F7F">
            <w:r>
              <w:t xml:space="preserve">Retirement options sent </w:t>
            </w:r>
          </w:p>
        </w:tc>
        <w:tc>
          <w:tcPr>
            <w:tcW w:w="1662" w:type="pct"/>
          </w:tcPr>
          <w:p w14:paraId="02689A6B" w14:textId="4D4B7DBD" w:rsidR="00932657" w:rsidRDefault="00932657" w:rsidP="00C22F7F">
            <w:r>
              <w:t>5 days</w:t>
            </w:r>
          </w:p>
        </w:tc>
        <w:tc>
          <w:tcPr>
            <w:tcW w:w="1662" w:type="pct"/>
          </w:tcPr>
          <w:p w14:paraId="786D7F69" w14:textId="16C08271" w:rsidR="00932657" w:rsidRDefault="00330290" w:rsidP="00C22F7F">
            <w:r>
              <w:t>2 months</w:t>
            </w:r>
          </w:p>
        </w:tc>
      </w:tr>
      <w:tr w:rsidR="00932657" w14:paraId="6685EE3C" w14:textId="14AC26B5" w:rsidTr="00405329">
        <w:tc>
          <w:tcPr>
            <w:tcW w:w="1676" w:type="pct"/>
          </w:tcPr>
          <w:p w14:paraId="0E3AEB44" w14:textId="277F4404" w:rsidR="00932657" w:rsidRDefault="00932657" w:rsidP="00C22F7F">
            <w:r>
              <w:lastRenderedPageBreak/>
              <w:t>Retirement benefits processed for payment</w:t>
            </w:r>
          </w:p>
        </w:tc>
        <w:tc>
          <w:tcPr>
            <w:tcW w:w="1662" w:type="pct"/>
          </w:tcPr>
          <w:p w14:paraId="05603ACA" w14:textId="6961C75A" w:rsidR="00932657" w:rsidRDefault="00932657" w:rsidP="00C22F7F">
            <w:r>
              <w:t>5 days (or by retirement date if sooner)</w:t>
            </w:r>
          </w:p>
        </w:tc>
        <w:tc>
          <w:tcPr>
            <w:tcW w:w="1662" w:type="pct"/>
          </w:tcPr>
          <w:p w14:paraId="2B55B802" w14:textId="09E3FB95" w:rsidR="00932657" w:rsidRDefault="000A25C9" w:rsidP="00C22F7F">
            <w:r>
              <w:t>No</w:t>
            </w:r>
          </w:p>
        </w:tc>
      </w:tr>
      <w:tr w:rsidR="00932657" w14:paraId="54958FCC" w14:textId="270FB765" w:rsidTr="00405329">
        <w:tc>
          <w:tcPr>
            <w:tcW w:w="1676" w:type="pct"/>
          </w:tcPr>
          <w:p w14:paraId="656605F1" w14:textId="69C9E3A4" w:rsidR="00932657" w:rsidRDefault="00932657" w:rsidP="00C22F7F">
            <w:r>
              <w:t>Deferred benefits paid</w:t>
            </w:r>
          </w:p>
        </w:tc>
        <w:tc>
          <w:tcPr>
            <w:tcW w:w="1662" w:type="pct"/>
          </w:tcPr>
          <w:p w14:paraId="15FED056" w14:textId="13AF0952" w:rsidR="00932657" w:rsidRDefault="00932657" w:rsidP="00C22F7F">
            <w:r>
              <w:t>5 days</w:t>
            </w:r>
          </w:p>
        </w:tc>
        <w:tc>
          <w:tcPr>
            <w:tcW w:w="1662" w:type="pct"/>
          </w:tcPr>
          <w:p w14:paraId="20FB6D0B" w14:textId="761E55D7" w:rsidR="00932657" w:rsidRDefault="00F82A67" w:rsidP="00C22F7F">
            <w:r>
              <w:t xml:space="preserve">No </w:t>
            </w:r>
          </w:p>
        </w:tc>
      </w:tr>
      <w:tr w:rsidR="00932657" w14:paraId="0AF259F2" w14:textId="07D4F4DF" w:rsidTr="00405329">
        <w:tc>
          <w:tcPr>
            <w:tcW w:w="1676" w:type="pct"/>
          </w:tcPr>
          <w:p w14:paraId="099A80D5" w14:textId="125629AF" w:rsidR="00932657" w:rsidRDefault="00932657" w:rsidP="00C22F7F">
            <w:r>
              <w:t>Death notification processed</w:t>
            </w:r>
          </w:p>
        </w:tc>
        <w:tc>
          <w:tcPr>
            <w:tcW w:w="1662" w:type="pct"/>
          </w:tcPr>
          <w:p w14:paraId="074D1112" w14:textId="4B84A30B" w:rsidR="00932657" w:rsidRDefault="00932657" w:rsidP="00C22F7F">
            <w:r>
              <w:t>5 days</w:t>
            </w:r>
          </w:p>
        </w:tc>
        <w:tc>
          <w:tcPr>
            <w:tcW w:w="1662" w:type="pct"/>
          </w:tcPr>
          <w:p w14:paraId="0FC2D513" w14:textId="4F0B2B8C" w:rsidR="00932657" w:rsidRDefault="00D50522" w:rsidP="00C22F7F">
            <w:r>
              <w:t>2 months</w:t>
            </w:r>
          </w:p>
        </w:tc>
      </w:tr>
      <w:tr w:rsidR="00932657" w14:paraId="43EC2280" w14:textId="27E16254" w:rsidTr="00405329">
        <w:tc>
          <w:tcPr>
            <w:tcW w:w="1676" w:type="pct"/>
          </w:tcPr>
          <w:p w14:paraId="191896F2" w14:textId="7DDB4719" w:rsidR="00932657" w:rsidRDefault="00932657" w:rsidP="00C22F7F">
            <w:proofErr w:type="gramStart"/>
            <w:r>
              <w:t>Dependants</w:t>
            </w:r>
            <w:proofErr w:type="gramEnd"/>
            <w:r>
              <w:t xml:space="preserve"> benefits paid</w:t>
            </w:r>
          </w:p>
        </w:tc>
        <w:tc>
          <w:tcPr>
            <w:tcW w:w="1662" w:type="pct"/>
          </w:tcPr>
          <w:p w14:paraId="5F637550" w14:textId="5C98E5D1" w:rsidR="00932657" w:rsidRDefault="00932657" w:rsidP="00C22F7F">
            <w:r>
              <w:t>5 days</w:t>
            </w:r>
          </w:p>
        </w:tc>
        <w:tc>
          <w:tcPr>
            <w:tcW w:w="1662" w:type="pct"/>
          </w:tcPr>
          <w:p w14:paraId="0C860543" w14:textId="7C9889A0" w:rsidR="00932657" w:rsidRDefault="00F82A67" w:rsidP="00C22F7F">
            <w:r>
              <w:t>No</w:t>
            </w:r>
          </w:p>
        </w:tc>
      </w:tr>
      <w:tr w:rsidR="00932657" w14:paraId="2DAF40C6" w14:textId="399E3997" w:rsidTr="00405329">
        <w:tc>
          <w:tcPr>
            <w:tcW w:w="1676" w:type="pct"/>
          </w:tcPr>
          <w:p w14:paraId="6E096335" w14:textId="431389D1" w:rsidR="00932657" w:rsidRDefault="00932657" w:rsidP="00C22F7F">
            <w:r>
              <w:t>Death grant paid</w:t>
            </w:r>
          </w:p>
        </w:tc>
        <w:tc>
          <w:tcPr>
            <w:tcW w:w="1662" w:type="pct"/>
          </w:tcPr>
          <w:p w14:paraId="792FCC35" w14:textId="0BE087CD" w:rsidR="00932657" w:rsidRDefault="00932657" w:rsidP="00C22F7F">
            <w:r>
              <w:t>5 days</w:t>
            </w:r>
          </w:p>
        </w:tc>
        <w:tc>
          <w:tcPr>
            <w:tcW w:w="1662" w:type="pct"/>
          </w:tcPr>
          <w:p w14:paraId="06142AE7" w14:textId="1AB56079" w:rsidR="00932657" w:rsidRDefault="00F82A67" w:rsidP="00C22F7F">
            <w:r>
              <w:t>No</w:t>
            </w:r>
          </w:p>
        </w:tc>
      </w:tr>
      <w:tr w:rsidR="00932657" w14:paraId="3A96FA36" w14:textId="0E772D1A" w:rsidTr="00405329">
        <w:tc>
          <w:tcPr>
            <w:tcW w:w="1676" w:type="pct"/>
          </w:tcPr>
          <w:p w14:paraId="6377E72B" w14:textId="20853135" w:rsidR="00932657" w:rsidRDefault="00932657" w:rsidP="00C22F7F">
            <w:r>
              <w:t xml:space="preserve">Retirement lump sum paid </w:t>
            </w:r>
          </w:p>
        </w:tc>
        <w:tc>
          <w:tcPr>
            <w:tcW w:w="1662" w:type="pct"/>
          </w:tcPr>
          <w:p w14:paraId="09EC5842" w14:textId="1DF4FA7F" w:rsidR="00932657" w:rsidRDefault="00932657" w:rsidP="00C22F7F">
            <w:r>
              <w:t>5 days</w:t>
            </w:r>
          </w:p>
        </w:tc>
        <w:tc>
          <w:tcPr>
            <w:tcW w:w="1662" w:type="pct"/>
          </w:tcPr>
          <w:p w14:paraId="0D0A0568" w14:textId="0DBDB7E2" w:rsidR="00932657" w:rsidRDefault="00F82A67" w:rsidP="00C22F7F">
            <w:r>
              <w:t>No</w:t>
            </w:r>
          </w:p>
        </w:tc>
      </w:tr>
      <w:tr w:rsidR="00932657" w14:paraId="395354E4" w14:textId="4A9D482F" w:rsidTr="00405329">
        <w:tc>
          <w:tcPr>
            <w:tcW w:w="1676" w:type="pct"/>
          </w:tcPr>
          <w:p w14:paraId="49296C97" w14:textId="0DC62634" w:rsidR="00932657" w:rsidRDefault="00932657" w:rsidP="00C22F7F">
            <w:r>
              <w:t>Payments recalled due to death</w:t>
            </w:r>
          </w:p>
        </w:tc>
        <w:tc>
          <w:tcPr>
            <w:tcW w:w="1662" w:type="pct"/>
          </w:tcPr>
          <w:p w14:paraId="5537AA2E" w14:textId="383961B7" w:rsidR="00932657" w:rsidRDefault="00932657" w:rsidP="00C22F7F">
            <w:r>
              <w:t>12pm day before payroll</w:t>
            </w:r>
          </w:p>
        </w:tc>
        <w:tc>
          <w:tcPr>
            <w:tcW w:w="1662" w:type="pct"/>
          </w:tcPr>
          <w:p w14:paraId="0EE7075F" w14:textId="47FFBAF9" w:rsidR="00932657" w:rsidRDefault="00F82A67" w:rsidP="00C22F7F">
            <w:r>
              <w:t>No</w:t>
            </w:r>
          </w:p>
        </w:tc>
      </w:tr>
      <w:tr w:rsidR="00932657" w14:paraId="7422B589" w14:textId="4B961D2A" w:rsidTr="00405329">
        <w:tc>
          <w:tcPr>
            <w:tcW w:w="1676" w:type="pct"/>
          </w:tcPr>
          <w:p w14:paraId="455444B3" w14:textId="4E6A831B" w:rsidR="00932657" w:rsidRDefault="00932657" w:rsidP="00C22F7F">
            <w:r>
              <w:t>Changes to bank details</w:t>
            </w:r>
          </w:p>
        </w:tc>
        <w:tc>
          <w:tcPr>
            <w:tcW w:w="1662" w:type="pct"/>
          </w:tcPr>
          <w:p w14:paraId="4CDC61FD" w14:textId="0F1B7D49" w:rsidR="00932657" w:rsidRDefault="00932657" w:rsidP="00C22F7F">
            <w:r>
              <w:t>Payroll cut off</w:t>
            </w:r>
          </w:p>
        </w:tc>
        <w:tc>
          <w:tcPr>
            <w:tcW w:w="1662" w:type="pct"/>
          </w:tcPr>
          <w:p w14:paraId="58E9BE94" w14:textId="0E7F89A5" w:rsidR="00932657" w:rsidRDefault="00F82A67" w:rsidP="00C22F7F">
            <w:r>
              <w:t>No</w:t>
            </w:r>
          </w:p>
        </w:tc>
      </w:tr>
    </w:tbl>
    <w:p w14:paraId="02367EA1" w14:textId="79269527" w:rsidR="00246694" w:rsidRDefault="00246694" w:rsidP="00E3079E">
      <w:pPr>
        <w:rPr>
          <w:rFonts w:asciiTheme="minorHAnsi" w:hAnsiTheme="minorHAnsi"/>
        </w:rPr>
      </w:pPr>
    </w:p>
    <w:p w14:paraId="5835032F" w14:textId="77777777" w:rsidR="00246694" w:rsidRDefault="00246694">
      <w:pPr>
        <w:spacing w:after="0"/>
        <w:rPr>
          <w:rFonts w:asciiTheme="minorHAnsi" w:hAnsiTheme="minorHAnsi"/>
        </w:rPr>
      </w:pPr>
      <w:r>
        <w:rPr>
          <w:rFonts w:asciiTheme="minorHAnsi" w:hAnsiTheme="minorHAnsi"/>
        </w:rPr>
        <w:br w:type="page"/>
      </w:r>
    </w:p>
    <w:p w14:paraId="04C81265" w14:textId="0F54344C" w:rsidR="00246694" w:rsidRDefault="00246694" w:rsidP="00246694">
      <w:pPr>
        <w:pStyle w:val="Heading1"/>
        <w:numPr>
          <w:ilvl w:val="0"/>
          <w:numId w:val="0"/>
        </w:numPr>
      </w:pPr>
      <w:bookmarkStart w:id="177" w:name="_Appendix_2._Template"/>
      <w:bookmarkStart w:id="178" w:name="_Toc75332420"/>
      <w:bookmarkEnd w:id="177"/>
      <w:r>
        <w:lastRenderedPageBreak/>
        <w:t xml:space="preserve">Appendix 2. </w:t>
      </w:r>
      <w:r w:rsidR="0000522E">
        <w:t>Template governance policy statement</w:t>
      </w:r>
      <w:bookmarkEnd w:id="178"/>
    </w:p>
    <w:p w14:paraId="2C66F17F" w14:textId="49176579" w:rsidR="001736D1" w:rsidRPr="00405329" w:rsidRDefault="001736D1" w:rsidP="00405329">
      <w:pPr>
        <w:jc w:val="center"/>
        <w:rPr>
          <w:b/>
          <w:bCs/>
        </w:rPr>
      </w:pPr>
      <w:r w:rsidRPr="00405329">
        <w:rPr>
          <w:b/>
          <w:bCs/>
        </w:rPr>
        <w:t>[</w:t>
      </w:r>
      <w:r w:rsidR="007532DE" w:rsidRPr="00405329">
        <w:rPr>
          <w:b/>
          <w:bCs/>
          <w:highlight w:val="yellow"/>
        </w:rPr>
        <w:t>INSERT NAME Fire and Rescue Authority/ PFCC/ London Fire Commissioner</w:t>
      </w:r>
      <w:r w:rsidRPr="00405329">
        <w:rPr>
          <w:b/>
          <w:bCs/>
        </w:rPr>
        <w:t xml:space="preserve">] FPS </w:t>
      </w:r>
      <w:r w:rsidR="00FA6FCE">
        <w:rPr>
          <w:b/>
          <w:bCs/>
        </w:rPr>
        <w:t>g</w:t>
      </w:r>
      <w:r w:rsidRPr="00405329">
        <w:rPr>
          <w:b/>
          <w:bCs/>
        </w:rPr>
        <w:t xml:space="preserve">overnance </w:t>
      </w:r>
      <w:r w:rsidR="00FA6FCE">
        <w:rPr>
          <w:b/>
          <w:bCs/>
        </w:rPr>
        <w:t>p</w:t>
      </w:r>
      <w:r w:rsidRPr="00405329">
        <w:rPr>
          <w:b/>
          <w:bCs/>
        </w:rPr>
        <w:t xml:space="preserve">olicy </w:t>
      </w:r>
      <w:r w:rsidR="00FA6FCE">
        <w:rPr>
          <w:b/>
          <w:bCs/>
        </w:rPr>
        <w:t>s</w:t>
      </w:r>
      <w:r w:rsidRPr="00405329">
        <w:rPr>
          <w:b/>
          <w:bCs/>
        </w:rPr>
        <w:t>tatement</w:t>
      </w:r>
    </w:p>
    <w:p w14:paraId="198E9DAC" w14:textId="219CBC02" w:rsidR="005B5167" w:rsidRPr="00405329" w:rsidRDefault="005B5167" w:rsidP="005B5167">
      <w:pPr>
        <w:rPr>
          <w:bCs/>
        </w:rPr>
      </w:pPr>
      <w:r w:rsidRPr="00405329">
        <w:rPr>
          <w:bCs/>
        </w:rPr>
        <w:t xml:space="preserve">Brief details of Firefighters’ Pension Scheme (FPS) governance arrangements within </w:t>
      </w:r>
      <w:r w:rsidR="00101141" w:rsidRPr="00166AAA">
        <w:rPr>
          <w:bCs/>
        </w:rPr>
        <w:t>[</w:t>
      </w:r>
      <w:r w:rsidR="00101141" w:rsidRPr="00166AAA">
        <w:rPr>
          <w:bCs/>
          <w:highlight w:val="yellow"/>
        </w:rPr>
        <w:t>INSERT NAME Fire and Rescue Authority/ PFCC/ London Fire Commissioner</w:t>
      </w:r>
      <w:r w:rsidR="00101141" w:rsidRPr="00166AAA">
        <w:rPr>
          <w:bCs/>
        </w:rPr>
        <w:t>]</w:t>
      </w:r>
      <w:r w:rsidR="00FA6FCE">
        <w:rPr>
          <w:bCs/>
        </w:rPr>
        <w:t>.</w:t>
      </w:r>
    </w:p>
    <w:p w14:paraId="0F4382E3" w14:textId="14E56588" w:rsidR="005B5167" w:rsidRPr="00405329" w:rsidRDefault="005B5167" w:rsidP="005B5167">
      <w:pPr>
        <w:rPr>
          <w:bCs/>
        </w:rPr>
      </w:pPr>
      <w:r w:rsidRPr="00405329">
        <w:rPr>
          <w:bCs/>
        </w:rPr>
        <w:t xml:space="preserve">With effect from </w:t>
      </w:r>
      <w:r w:rsidR="00101141" w:rsidRPr="00166AAA">
        <w:rPr>
          <w:bCs/>
        </w:rPr>
        <w:t>[</w:t>
      </w:r>
      <w:r w:rsidR="00101141" w:rsidRPr="00166AAA">
        <w:rPr>
          <w:bCs/>
          <w:highlight w:val="yellow"/>
        </w:rPr>
        <w:t>INSERT DATE</w:t>
      </w:r>
      <w:r w:rsidR="00101141" w:rsidRPr="00166AAA">
        <w:rPr>
          <w:bCs/>
        </w:rPr>
        <w:t>]</w:t>
      </w:r>
      <w:r w:rsidR="00FA6FCE">
        <w:rPr>
          <w:bCs/>
        </w:rPr>
        <w:t>.</w:t>
      </w:r>
    </w:p>
    <w:p w14:paraId="3EC99422" w14:textId="0C6F5659" w:rsidR="005B5167" w:rsidRPr="005B5167" w:rsidRDefault="005B5167" w:rsidP="005B5167">
      <w:r w:rsidRPr="005B5167">
        <w:t xml:space="preserve">The Public Service Pensions Act 2013 set out new governance arrangements for all public service schemes with effect </w:t>
      </w:r>
      <w:r w:rsidRPr="00D14CC0">
        <w:t xml:space="preserve">from </w:t>
      </w:r>
      <w:r w:rsidRPr="00405329">
        <w:t>1 April 2015</w:t>
      </w:r>
      <w:r w:rsidRPr="00D14CC0">
        <w:t>, incl</w:t>
      </w:r>
      <w:r w:rsidRPr="005B5167">
        <w:t xml:space="preserve">uding the requirement for each public service scheme to have a </w:t>
      </w:r>
      <w:r w:rsidR="009922C6">
        <w:rPr>
          <w:b/>
        </w:rPr>
        <w:t>s</w:t>
      </w:r>
      <w:r w:rsidRPr="005B5167">
        <w:rPr>
          <w:b/>
        </w:rPr>
        <w:t xml:space="preserve">cheme </w:t>
      </w:r>
      <w:r w:rsidR="009922C6">
        <w:rPr>
          <w:b/>
        </w:rPr>
        <w:t>m</w:t>
      </w:r>
      <w:r w:rsidRPr="005B5167">
        <w:rPr>
          <w:b/>
        </w:rPr>
        <w:t>anager</w:t>
      </w:r>
      <w:r w:rsidRPr="005B5167">
        <w:t xml:space="preserve"> and a </w:t>
      </w:r>
      <w:r w:rsidR="009922C6" w:rsidRPr="00405329">
        <w:rPr>
          <w:b/>
          <w:bCs/>
        </w:rPr>
        <w:t>L</w:t>
      </w:r>
      <w:r w:rsidRPr="00405329">
        <w:rPr>
          <w:b/>
          <w:bCs/>
        </w:rPr>
        <w:t xml:space="preserve">ocal </w:t>
      </w:r>
      <w:r w:rsidRPr="00166AAA">
        <w:rPr>
          <w:b/>
          <w:bCs/>
        </w:rPr>
        <w:t>P</w:t>
      </w:r>
      <w:r w:rsidRPr="005B5167">
        <w:rPr>
          <w:b/>
        </w:rPr>
        <w:t>ension Board</w:t>
      </w:r>
      <w:r w:rsidRPr="005B5167">
        <w:t xml:space="preserve"> in place.  </w:t>
      </w:r>
      <w:r w:rsidRPr="005B5167">
        <w:tab/>
      </w:r>
    </w:p>
    <w:p w14:paraId="6C133947" w14:textId="11BF5672" w:rsidR="003B180A" w:rsidRPr="00405329" w:rsidRDefault="003B180A" w:rsidP="00405329">
      <w:pPr>
        <w:widowControl w:val="0"/>
        <w:suppressLineNumbers/>
        <w:tabs>
          <w:tab w:val="left" w:pos="0"/>
          <w:tab w:val="left" w:pos="1440"/>
          <w:tab w:val="left" w:pos="2160"/>
          <w:tab w:val="left" w:pos="2880"/>
          <w:tab w:val="right" w:pos="9000"/>
        </w:tabs>
        <w:overflowPunct w:val="0"/>
        <w:autoSpaceDE w:val="0"/>
        <w:autoSpaceDN w:val="0"/>
        <w:adjustRightInd w:val="0"/>
        <w:jc w:val="both"/>
        <w:textAlignment w:val="baseline"/>
        <w:rPr>
          <w:rFonts w:eastAsia="Times New Roman"/>
          <w:b/>
          <w:bCs/>
          <w:szCs w:val="20"/>
        </w:rPr>
      </w:pPr>
      <w:r w:rsidRPr="00405329">
        <w:rPr>
          <w:rFonts w:eastAsia="Times New Roman"/>
          <w:b/>
          <w:bCs/>
          <w:szCs w:val="20"/>
        </w:rPr>
        <w:t xml:space="preserve">Scheme </w:t>
      </w:r>
      <w:r w:rsidR="009922C6">
        <w:rPr>
          <w:rFonts w:eastAsia="Times New Roman"/>
          <w:b/>
          <w:bCs/>
          <w:szCs w:val="20"/>
        </w:rPr>
        <w:t>m</w:t>
      </w:r>
      <w:r w:rsidRPr="00405329">
        <w:rPr>
          <w:rFonts w:eastAsia="Times New Roman"/>
          <w:b/>
          <w:bCs/>
          <w:szCs w:val="20"/>
        </w:rPr>
        <w:t>anager</w:t>
      </w:r>
    </w:p>
    <w:p w14:paraId="2F5C0B39" w14:textId="7486B252" w:rsidR="00EE2A64" w:rsidRDefault="0070120F">
      <w:pPr>
        <w:widowControl w:val="0"/>
        <w:suppressLineNumbers/>
        <w:tabs>
          <w:tab w:val="left" w:pos="0"/>
          <w:tab w:val="left" w:pos="1440"/>
          <w:tab w:val="left" w:pos="2160"/>
          <w:tab w:val="left" w:pos="2880"/>
          <w:tab w:val="right" w:pos="9000"/>
        </w:tabs>
        <w:overflowPunct w:val="0"/>
        <w:autoSpaceDE w:val="0"/>
        <w:autoSpaceDN w:val="0"/>
        <w:adjustRightInd w:val="0"/>
        <w:textAlignment w:val="baseline"/>
        <w:rPr>
          <w:bCs/>
        </w:rPr>
      </w:pPr>
      <w:r>
        <w:rPr>
          <w:rFonts w:eastAsia="Times New Roman"/>
          <w:szCs w:val="20"/>
        </w:rPr>
        <w:t xml:space="preserve">The </w:t>
      </w:r>
      <w:r w:rsidR="003B180A" w:rsidRPr="002731BE">
        <w:rPr>
          <w:rFonts w:eastAsia="Times New Roman"/>
          <w:szCs w:val="20"/>
        </w:rPr>
        <w:t xml:space="preserve">term </w:t>
      </w:r>
      <w:r w:rsidR="009922C6">
        <w:rPr>
          <w:rFonts w:eastAsia="Times New Roman"/>
          <w:szCs w:val="20"/>
        </w:rPr>
        <w:t>s</w:t>
      </w:r>
      <w:r w:rsidR="003B180A" w:rsidRPr="002731BE">
        <w:rPr>
          <w:rFonts w:eastAsia="Times New Roman"/>
          <w:szCs w:val="20"/>
        </w:rPr>
        <w:t xml:space="preserve">cheme </w:t>
      </w:r>
      <w:r w:rsidR="009922C6">
        <w:rPr>
          <w:rFonts w:eastAsia="Times New Roman"/>
          <w:szCs w:val="20"/>
        </w:rPr>
        <w:t>m</w:t>
      </w:r>
      <w:r w:rsidR="003B180A" w:rsidRPr="002731BE">
        <w:rPr>
          <w:rFonts w:eastAsia="Times New Roman"/>
          <w:szCs w:val="20"/>
        </w:rPr>
        <w:t xml:space="preserve">anager is defined </w:t>
      </w:r>
      <w:r w:rsidR="009E5890">
        <w:rPr>
          <w:rFonts w:eastAsia="Times New Roman"/>
          <w:szCs w:val="20"/>
        </w:rPr>
        <w:t xml:space="preserve">in law </w:t>
      </w:r>
      <w:r w:rsidR="003B180A" w:rsidRPr="002731BE">
        <w:rPr>
          <w:rFonts w:eastAsia="Times New Roman"/>
          <w:szCs w:val="20"/>
        </w:rPr>
        <w:t xml:space="preserve">as the person responsible for </w:t>
      </w:r>
      <w:r w:rsidR="003B180A" w:rsidRPr="002731BE">
        <w:rPr>
          <w:rFonts w:eastAsia="Times New Roman"/>
          <w:b/>
          <w:szCs w:val="20"/>
        </w:rPr>
        <w:t xml:space="preserve">managing </w:t>
      </w:r>
      <w:r w:rsidR="009E5890">
        <w:rPr>
          <w:rFonts w:eastAsia="Times New Roman"/>
          <w:b/>
          <w:szCs w:val="20"/>
        </w:rPr>
        <w:t>and</w:t>
      </w:r>
      <w:r w:rsidR="003B180A" w:rsidRPr="002731BE">
        <w:rPr>
          <w:rFonts w:eastAsia="Times New Roman"/>
          <w:b/>
          <w:szCs w:val="20"/>
        </w:rPr>
        <w:t xml:space="preserve"> administering</w:t>
      </w:r>
      <w:r w:rsidR="003B180A" w:rsidRPr="002731BE">
        <w:rPr>
          <w:rFonts w:eastAsia="Times New Roman"/>
          <w:szCs w:val="20"/>
        </w:rPr>
        <w:t xml:space="preserve"> </w:t>
      </w:r>
      <w:r w:rsidR="009E5890">
        <w:rPr>
          <w:rFonts w:eastAsia="Times New Roman"/>
          <w:szCs w:val="20"/>
        </w:rPr>
        <w:t>a pension</w:t>
      </w:r>
      <w:r w:rsidR="003B180A" w:rsidRPr="002731BE">
        <w:rPr>
          <w:rFonts w:eastAsia="Times New Roman"/>
          <w:szCs w:val="20"/>
        </w:rPr>
        <w:t xml:space="preserve"> scheme</w:t>
      </w:r>
      <w:r w:rsidR="00B310FA">
        <w:rPr>
          <w:rFonts w:eastAsia="Times New Roman"/>
          <w:szCs w:val="20"/>
        </w:rPr>
        <w:t>. T</w:t>
      </w:r>
      <w:r w:rsidR="003B180A" w:rsidRPr="002731BE">
        <w:rPr>
          <w:rFonts w:eastAsia="Times New Roman"/>
          <w:szCs w:val="20"/>
        </w:rPr>
        <w:t xml:space="preserve">he Firefighters’ Pension Scheme (FPS) Governance Regulations provide that for the FPS, the </w:t>
      </w:r>
      <w:r w:rsidR="009922C6">
        <w:rPr>
          <w:rFonts w:eastAsia="Times New Roman"/>
          <w:szCs w:val="20"/>
        </w:rPr>
        <w:t>s</w:t>
      </w:r>
      <w:r w:rsidR="003B180A" w:rsidRPr="002731BE">
        <w:rPr>
          <w:rFonts w:eastAsia="Times New Roman"/>
          <w:szCs w:val="20"/>
        </w:rPr>
        <w:t xml:space="preserve">cheme </w:t>
      </w:r>
      <w:r w:rsidR="009922C6">
        <w:rPr>
          <w:rFonts w:eastAsia="Times New Roman"/>
          <w:szCs w:val="20"/>
        </w:rPr>
        <w:t>m</w:t>
      </w:r>
      <w:r w:rsidR="003B180A" w:rsidRPr="002731BE">
        <w:rPr>
          <w:rFonts w:eastAsia="Times New Roman"/>
          <w:szCs w:val="20"/>
        </w:rPr>
        <w:t>anager is the appropriate</w:t>
      </w:r>
      <w:r w:rsidR="00B8310B" w:rsidRPr="00405329">
        <w:rPr>
          <w:bCs/>
        </w:rPr>
        <w:t xml:space="preserve"> </w:t>
      </w:r>
      <w:r w:rsidR="00B8310B">
        <w:rPr>
          <w:bCs/>
        </w:rPr>
        <w:t>[</w:t>
      </w:r>
      <w:r w:rsidR="00ED79F1" w:rsidRPr="00405329">
        <w:rPr>
          <w:bCs/>
          <w:highlight w:val="yellow"/>
        </w:rPr>
        <w:t>delete as appropriate</w:t>
      </w:r>
      <w:r w:rsidR="00ED79F1">
        <w:rPr>
          <w:bCs/>
          <w:highlight w:val="yellow"/>
        </w:rPr>
        <w:t>:</w:t>
      </w:r>
      <w:r w:rsidR="00ED79F1" w:rsidRPr="00405329">
        <w:rPr>
          <w:bCs/>
          <w:highlight w:val="yellow"/>
        </w:rPr>
        <w:t xml:space="preserve"> </w:t>
      </w:r>
      <w:r w:rsidR="00B8310B" w:rsidRPr="00ED79F1">
        <w:rPr>
          <w:bCs/>
          <w:highlight w:val="yellow"/>
        </w:rPr>
        <w:t>F</w:t>
      </w:r>
      <w:r w:rsidR="00B8310B" w:rsidRPr="00612BF2">
        <w:rPr>
          <w:bCs/>
          <w:highlight w:val="yellow"/>
        </w:rPr>
        <w:t>ire and Rescue Authority/ PFCC/ London Fire Commissioner</w:t>
      </w:r>
      <w:r w:rsidR="00B8310B">
        <w:rPr>
          <w:bCs/>
        </w:rPr>
        <w:t>]</w:t>
      </w:r>
      <w:r w:rsidR="00897E35">
        <w:rPr>
          <w:rStyle w:val="FootnoteReference"/>
          <w:bCs/>
        </w:rPr>
        <w:footnoteReference w:id="7"/>
      </w:r>
      <w:r w:rsidR="00B8310B">
        <w:rPr>
          <w:bCs/>
        </w:rPr>
        <w:t>.</w:t>
      </w:r>
    </w:p>
    <w:p w14:paraId="39C81745" w14:textId="78F0E76B" w:rsidR="00233E88" w:rsidRDefault="006E1412">
      <w:pPr>
        <w:widowControl w:val="0"/>
        <w:suppressLineNumbers/>
        <w:tabs>
          <w:tab w:val="left" w:pos="0"/>
          <w:tab w:val="left" w:pos="1440"/>
          <w:tab w:val="left" w:pos="2160"/>
          <w:tab w:val="left" w:pos="2880"/>
          <w:tab w:val="right" w:pos="9000"/>
        </w:tabs>
        <w:overflowPunct w:val="0"/>
        <w:autoSpaceDE w:val="0"/>
        <w:autoSpaceDN w:val="0"/>
        <w:adjustRightInd w:val="0"/>
        <w:textAlignment w:val="baseline"/>
        <w:rPr>
          <w:bCs/>
        </w:rPr>
      </w:pPr>
      <w:r w:rsidRPr="00790ABC">
        <w:rPr>
          <w:bCs/>
          <w:highlight w:val="yellow"/>
        </w:rPr>
        <w:t>[FOR COUNTY COUNCIL ARRANGEMENTS - I</w:t>
      </w:r>
      <w:r w:rsidR="00495E28" w:rsidRPr="00405329">
        <w:rPr>
          <w:bCs/>
          <w:highlight w:val="yellow"/>
        </w:rPr>
        <w:t>NSERT NAME C</w:t>
      </w:r>
      <w:r w:rsidR="00A35E4A" w:rsidRPr="00790ABC">
        <w:rPr>
          <w:bCs/>
          <w:highlight w:val="yellow"/>
        </w:rPr>
        <w:t>ounty</w:t>
      </w:r>
      <w:r w:rsidR="00495E28" w:rsidRPr="00405329">
        <w:rPr>
          <w:bCs/>
          <w:highlight w:val="yellow"/>
        </w:rPr>
        <w:t xml:space="preserve"> </w:t>
      </w:r>
      <w:r w:rsidR="00A35E4A" w:rsidRPr="00405329">
        <w:rPr>
          <w:bCs/>
          <w:highlight w:val="yellow"/>
        </w:rPr>
        <w:t>Council</w:t>
      </w:r>
      <w:r w:rsidR="00495E28" w:rsidRPr="00405329">
        <w:rPr>
          <w:bCs/>
          <w:highlight w:val="yellow"/>
        </w:rPr>
        <w:t xml:space="preserve">] acting in its capacity as a </w:t>
      </w:r>
      <w:r w:rsidR="00495E28" w:rsidRPr="00405329">
        <w:rPr>
          <w:highlight w:val="yellow"/>
        </w:rPr>
        <w:t>Fire and Rescue Authority</w:t>
      </w:r>
      <w:r w:rsidR="00495E28" w:rsidRPr="00405329">
        <w:rPr>
          <w:bCs/>
          <w:highlight w:val="yellow"/>
        </w:rPr>
        <w:t xml:space="preserve"> has the </w:t>
      </w:r>
      <w:r w:rsidR="00ED79F1" w:rsidRPr="00405329">
        <w:rPr>
          <w:bCs/>
          <w:highlight w:val="yellow"/>
        </w:rPr>
        <w:t>s</w:t>
      </w:r>
      <w:r w:rsidR="00495E28" w:rsidRPr="00405329">
        <w:rPr>
          <w:bCs/>
          <w:highlight w:val="yellow"/>
        </w:rPr>
        <w:t xml:space="preserve">cheme </w:t>
      </w:r>
      <w:r w:rsidR="00ED79F1" w:rsidRPr="00405329">
        <w:rPr>
          <w:bCs/>
          <w:highlight w:val="yellow"/>
        </w:rPr>
        <w:t>m</w:t>
      </w:r>
      <w:r w:rsidR="00495E28" w:rsidRPr="00405329">
        <w:rPr>
          <w:bCs/>
          <w:highlight w:val="yellow"/>
        </w:rPr>
        <w:t xml:space="preserve">anager role to administer the FPS in </w:t>
      </w:r>
      <w:r w:rsidR="009E5890" w:rsidRPr="00405329">
        <w:rPr>
          <w:bCs/>
          <w:highlight w:val="yellow"/>
        </w:rPr>
        <w:t>[</w:t>
      </w:r>
      <w:r w:rsidR="009E5890" w:rsidRPr="00790ABC">
        <w:rPr>
          <w:bCs/>
          <w:highlight w:val="yellow"/>
        </w:rPr>
        <w:t>INSERT SERVICE NAME</w:t>
      </w:r>
      <w:r w:rsidR="009E5890" w:rsidRPr="00405329">
        <w:rPr>
          <w:bCs/>
          <w:highlight w:val="yellow"/>
        </w:rPr>
        <w:t>].</w:t>
      </w:r>
    </w:p>
    <w:p w14:paraId="0D104C10" w14:textId="56A57103" w:rsidR="00CE41F5" w:rsidRDefault="0064085B">
      <w:pPr>
        <w:widowControl w:val="0"/>
        <w:suppressLineNumbers/>
        <w:tabs>
          <w:tab w:val="left" w:pos="0"/>
          <w:tab w:val="left" w:pos="1440"/>
          <w:tab w:val="left" w:pos="2160"/>
          <w:tab w:val="left" w:pos="2880"/>
          <w:tab w:val="right" w:pos="9000"/>
        </w:tabs>
        <w:overflowPunct w:val="0"/>
        <w:autoSpaceDE w:val="0"/>
        <w:autoSpaceDN w:val="0"/>
        <w:adjustRightInd w:val="0"/>
        <w:textAlignment w:val="baseline"/>
        <w:rPr>
          <w:bCs/>
        </w:rPr>
      </w:pPr>
      <w:r>
        <w:rPr>
          <w:bCs/>
        </w:rPr>
        <w:t>Therefore, f</w:t>
      </w:r>
      <w:r w:rsidR="00BC0C55">
        <w:rPr>
          <w:bCs/>
        </w:rPr>
        <w:t xml:space="preserve">or the FPS </w:t>
      </w:r>
      <w:r w:rsidR="00797D1D">
        <w:rPr>
          <w:bCs/>
        </w:rPr>
        <w:t xml:space="preserve">in </w:t>
      </w:r>
      <w:r w:rsidR="00CE41F5">
        <w:rPr>
          <w:bCs/>
        </w:rPr>
        <w:t>[</w:t>
      </w:r>
      <w:r w:rsidR="00CE41F5" w:rsidRPr="00405329">
        <w:rPr>
          <w:bCs/>
          <w:highlight w:val="yellow"/>
        </w:rPr>
        <w:t xml:space="preserve">INSERT </w:t>
      </w:r>
      <w:r w:rsidR="00737A10" w:rsidRPr="00405329">
        <w:rPr>
          <w:bCs/>
          <w:highlight w:val="yellow"/>
        </w:rPr>
        <w:t>SERVICE NAME</w:t>
      </w:r>
      <w:r w:rsidR="00A66D95">
        <w:rPr>
          <w:bCs/>
        </w:rPr>
        <w:t>],</w:t>
      </w:r>
      <w:r w:rsidR="00B11C12">
        <w:rPr>
          <w:bCs/>
        </w:rPr>
        <w:t xml:space="preserve"> </w:t>
      </w:r>
      <w:r w:rsidR="00405712" w:rsidRPr="00612BF2">
        <w:rPr>
          <w:bCs/>
        </w:rPr>
        <w:t>[</w:t>
      </w:r>
      <w:r w:rsidR="00405712" w:rsidRPr="00612BF2">
        <w:rPr>
          <w:bCs/>
          <w:highlight w:val="yellow"/>
        </w:rPr>
        <w:t xml:space="preserve">INSERT NAME </w:t>
      </w:r>
      <w:r w:rsidR="00A35E4A">
        <w:rPr>
          <w:bCs/>
          <w:highlight w:val="yellow"/>
        </w:rPr>
        <w:t>County Council/</w:t>
      </w:r>
      <w:r w:rsidR="00ED79F1">
        <w:rPr>
          <w:bCs/>
          <w:highlight w:val="yellow"/>
        </w:rPr>
        <w:t xml:space="preserve"> </w:t>
      </w:r>
      <w:r w:rsidR="00405712" w:rsidRPr="00612BF2">
        <w:rPr>
          <w:bCs/>
          <w:highlight w:val="yellow"/>
        </w:rPr>
        <w:t>Fire and Rescue Authority/ PFCC/ London Fire Commissioner</w:t>
      </w:r>
      <w:r w:rsidR="00405712" w:rsidRPr="00612BF2">
        <w:rPr>
          <w:bCs/>
        </w:rPr>
        <w:t>]</w:t>
      </w:r>
      <w:r w:rsidR="00405712">
        <w:rPr>
          <w:bCs/>
        </w:rPr>
        <w:t xml:space="preserve"> is the sch</w:t>
      </w:r>
      <w:r w:rsidR="00132930">
        <w:rPr>
          <w:bCs/>
        </w:rPr>
        <w:t xml:space="preserve">eme manager. </w:t>
      </w:r>
    </w:p>
    <w:p w14:paraId="7438C042" w14:textId="30E001F6" w:rsidR="00177F48" w:rsidRDefault="008041C8">
      <w:pPr>
        <w:widowControl w:val="0"/>
        <w:suppressLineNumbers/>
        <w:tabs>
          <w:tab w:val="left" w:pos="0"/>
          <w:tab w:val="left" w:pos="1440"/>
          <w:tab w:val="left" w:pos="2160"/>
          <w:tab w:val="left" w:pos="2880"/>
          <w:tab w:val="right" w:pos="9000"/>
        </w:tabs>
        <w:overflowPunct w:val="0"/>
        <w:autoSpaceDE w:val="0"/>
        <w:autoSpaceDN w:val="0"/>
        <w:adjustRightInd w:val="0"/>
        <w:textAlignment w:val="baseline"/>
        <w:rPr>
          <w:rFonts w:eastAsia="Times New Roman"/>
          <w:szCs w:val="20"/>
        </w:rPr>
      </w:pPr>
      <w:r>
        <w:rPr>
          <w:rFonts w:eastAsia="Times New Roman"/>
          <w:szCs w:val="20"/>
        </w:rPr>
        <w:t>The scheme manager function may be delegated within the authority</w:t>
      </w:r>
      <w:r>
        <w:rPr>
          <w:rStyle w:val="FootnoteReference"/>
          <w:rFonts w:eastAsia="Times New Roman"/>
          <w:szCs w:val="20"/>
        </w:rPr>
        <w:footnoteReference w:id="8"/>
      </w:r>
      <w:r>
        <w:rPr>
          <w:rFonts w:eastAsia="Times New Roman"/>
          <w:szCs w:val="20"/>
        </w:rPr>
        <w:t>.</w:t>
      </w:r>
    </w:p>
    <w:p w14:paraId="18E58839" w14:textId="0718ED35" w:rsidR="008D7963" w:rsidRPr="002731BE" w:rsidRDefault="008C56AE" w:rsidP="00405329">
      <w:pPr>
        <w:widowControl w:val="0"/>
        <w:suppressLineNumbers/>
        <w:tabs>
          <w:tab w:val="left" w:pos="0"/>
          <w:tab w:val="left" w:pos="3960"/>
          <w:tab w:val="right" w:pos="9000"/>
        </w:tabs>
        <w:overflowPunct w:val="0"/>
        <w:autoSpaceDE w:val="0"/>
        <w:autoSpaceDN w:val="0"/>
        <w:adjustRightInd w:val="0"/>
        <w:textAlignment w:val="baseline"/>
        <w:rPr>
          <w:rFonts w:eastAsia="Times New Roman"/>
          <w:szCs w:val="20"/>
        </w:rPr>
      </w:pPr>
      <w:r w:rsidRPr="00612BF2">
        <w:rPr>
          <w:bCs/>
        </w:rPr>
        <w:t>[</w:t>
      </w:r>
      <w:r w:rsidRPr="00612BF2">
        <w:rPr>
          <w:bCs/>
          <w:highlight w:val="yellow"/>
        </w:rPr>
        <w:t xml:space="preserve">INSERT NAME </w:t>
      </w:r>
      <w:r w:rsidR="00ED79F1">
        <w:rPr>
          <w:bCs/>
          <w:highlight w:val="yellow"/>
        </w:rPr>
        <w:t xml:space="preserve">County Council/ </w:t>
      </w:r>
      <w:r w:rsidRPr="00612BF2">
        <w:rPr>
          <w:bCs/>
          <w:highlight w:val="yellow"/>
        </w:rPr>
        <w:t>Fire and Rescue Authority/ PFCC/ London Fire Commissioner</w:t>
      </w:r>
      <w:r w:rsidRPr="00612BF2">
        <w:rPr>
          <w:bCs/>
        </w:rPr>
        <w:t>]</w:t>
      </w:r>
      <w:r w:rsidR="008D7963" w:rsidRPr="002731BE">
        <w:rPr>
          <w:rFonts w:eastAsia="Times New Roman"/>
          <w:szCs w:val="20"/>
        </w:rPr>
        <w:t xml:space="preserve"> has delegated the function to </w:t>
      </w:r>
      <w:r w:rsidR="00C22E8D">
        <w:rPr>
          <w:rFonts w:eastAsia="Times New Roman"/>
          <w:szCs w:val="20"/>
        </w:rPr>
        <w:t>[</w:t>
      </w:r>
      <w:r w:rsidR="00C22E8D" w:rsidRPr="00405329">
        <w:rPr>
          <w:rFonts w:eastAsia="Times New Roman"/>
          <w:szCs w:val="20"/>
          <w:highlight w:val="yellow"/>
        </w:rPr>
        <w:t>INSERT DELEGATION</w:t>
      </w:r>
      <w:r w:rsidR="00C22E8D">
        <w:rPr>
          <w:rFonts w:eastAsia="Times New Roman"/>
          <w:szCs w:val="20"/>
        </w:rPr>
        <w:t>].</w:t>
      </w:r>
    </w:p>
    <w:p w14:paraId="66F59133" w14:textId="77777777" w:rsidR="0012726F" w:rsidRPr="00405329" w:rsidRDefault="0012726F" w:rsidP="00405329">
      <w:pPr>
        <w:widowControl w:val="0"/>
        <w:suppressLineNumbers/>
        <w:tabs>
          <w:tab w:val="left" w:pos="0"/>
          <w:tab w:val="left" w:pos="3960"/>
          <w:tab w:val="right" w:pos="9000"/>
        </w:tabs>
        <w:overflowPunct w:val="0"/>
        <w:autoSpaceDE w:val="0"/>
        <w:autoSpaceDN w:val="0"/>
        <w:adjustRightInd w:val="0"/>
        <w:textAlignment w:val="baseline"/>
        <w:rPr>
          <w:rFonts w:eastAsia="Times New Roman"/>
          <w:b/>
          <w:bCs/>
          <w:szCs w:val="20"/>
        </w:rPr>
      </w:pPr>
      <w:r w:rsidRPr="00405329">
        <w:rPr>
          <w:rFonts w:eastAsia="Times New Roman"/>
          <w:b/>
          <w:bCs/>
          <w:szCs w:val="20"/>
        </w:rPr>
        <w:t>Local Pension Board</w:t>
      </w:r>
    </w:p>
    <w:p w14:paraId="7BEFFFC5" w14:textId="23326D14" w:rsidR="0012726F" w:rsidRDefault="0012726F" w:rsidP="00295BCE">
      <w:pPr>
        <w:rPr>
          <w:bCs/>
        </w:rPr>
      </w:pPr>
      <w:r w:rsidRPr="002731BE">
        <w:rPr>
          <w:rFonts w:eastAsia="Times New Roman"/>
          <w:szCs w:val="20"/>
        </w:rPr>
        <w:t xml:space="preserve">The FPS Local Pension Board (“the Board”) was established from </w:t>
      </w:r>
      <w:r w:rsidR="007577A4" w:rsidRPr="00612BF2">
        <w:rPr>
          <w:bCs/>
        </w:rPr>
        <w:t>[</w:t>
      </w:r>
      <w:r w:rsidR="007577A4" w:rsidRPr="00612BF2">
        <w:rPr>
          <w:bCs/>
          <w:highlight w:val="yellow"/>
        </w:rPr>
        <w:t>INSERT DATE</w:t>
      </w:r>
      <w:r w:rsidR="007577A4" w:rsidRPr="00612BF2">
        <w:rPr>
          <w:bCs/>
        </w:rPr>
        <w:t>]</w:t>
      </w:r>
      <w:r w:rsidR="007577A4">
        <w:rPr>
          <w:bCs/>
        </w:rPr>
        <w:t xml:space="preserve"> </w:t>
      </w:r>
      <w:r w:rsidRPr="002731BE">
        <w:rPr>
          <w:rFonts w:eastAsia="Times New Roman"/>
          <w:szCs w:val="20"/>
        </w:rPr>
        <w:t xml:space="preserve">by Northumberland County Council at its meeting held on </w:t>
      </w:r>
      <w:r w:rsidR="007577A4" w:rsidRPr="00612BF2">
        <w:rPr>
          <w:bCs/>
        </w:rPr>
        <w:t>[</w:t>
      </w:r>
      <w:r w:rsidR="007577A4" w:rsidRPr="00612BF2">
        <w:rPr>
          <w:bCs/>
          <w:highlight w:val="yellow"/>
        </w:rPr>
        <w:t>INSERT DATE</w:t>
      </w:r>
      <w:r w:rsidR="007577A4" w:rsidRPr="00612BF2">
        <w:rPr>
          <w:bCs/>
        </w:rPr>
        <w:t>]</w:t>
      </w:r>
      <w:r w:rsidR="007577A4">
        <w:rPr>
          <w:bCs/>
        </w:rPr>
        <w:t>.</w:t>
      </w:r>
    </w:p>
    <w:p w14:paraId="608F6404" w14:textId="5B1779E7" w:rsidR="00720D73" w:rsidRPr="00405329" w:rsidRDefault="00720D73" w:rsidP="00405329">
      <w:pPr>
        <w:widowControl w:val="0"/>
        <w:suppressLineNumbers/>
        <w:overflowPunct w:val="0"/>
        <w:autoSpaceDE w:val="0"/>
        <w:autoSpaceDN w:val="0"/>
        <w:adjustRightInd w:val="0"/>
        <w:textAlignment w:val="baseline"/>
        <w:rPr>
          <w:rFonts w:eastAsia="Times New Roman"/>
          <w:b/>
          <w:bCs/>
          <w:szCs w:val="24"/>
        </w:rPr>
      </w:pPr>
      <w:r w:rsidRPr="002731BE">
        <w:rPr>
          <w:rFonts w:eastAsia="Times New Roman"/>
          <w:szCs w:val="24"/>
        </w:rPr>
        <w:t>The terms, structure and operational procedures of the Board are set out in the Board’s Terms of Reference</w:t>
      </w:r>
      <w:r>
        <w:rPr>
          <w:rFonts w:eastAsia="Times New Roman"/>
          <w:szCs w:val="24"/>
        </w:rPr>
        <w:t xml:space="preserve"> [</w:t>
      </w:r>
      <w:r w:rsidRPr="00E3079E">
        <w:rPr>
          <w:highlight w:val="yellow"/>
        </w:rPr>
        <w:t>INSERT</w:t>
      </w:r>
      <w:r w:rsidRPr="00720D73">
        <w:rPr>
          <w:highlight w:val="yellow"/>
        </w:rPr>
        <w:t xml:space="preserve"> </w:t>
      </w:r>
      <w:r w:rsidRPr="00405329">
        <w:rPr>
          <w:highlight w:val="yellow"/>
        </w:rPr>
        <w:t>HYPERLINK</w:t>
      </w:r>
      <w:r>
        <w:t>].</w:t>
      </w:r>
    </w:p>
    <w:p w14:paraId="73F64914" w14:textId="77777777" w:rsidR="0008663E" w:rsidRDefault="0008663E">
      <w:pPr>
        <w:spacing w:after="0"/>
        <w:rPr>
          <w:rFonts w:eastAsia="Times New Roman"/>
          <w:szCs w:val="24"/>
        </w:rPr>
      </w:pPr>
      <w:r>
        <w:rPr>
          <w:rFonts w:eastAsia="Times New Roman"/>
          <w:szCs w:val="24"/>
        </w:rPr>
        <w:br w:type="page"/>
      </w:r>
    </w:p>
    <w:p w14:paraId="7E7B75C8" w14:textId="62B5CFEB" w:rsidR="0012726F" w:rsidRPr="002731BE" w:rsidRDefault="0012726F" w:rsidP="0012726F">
      <w:pPr>
        <w:widowControl w:val="0"/>
        <w:suppressLineNumbers/>
        <w:autoSpaceDE w:val="0"/>
        <w:autoSpaceDN w:val="0"/>
        <w:adjustRightInd w:val="0"/>
        <w:jc w:val="both"/>
        <w:rPr>
          <w:rFonts w:eastAsia="Times New Roman"/>
          <w:szCs w:val="24"/>
        </w:rPr>
      </w:pPr>
      <w:r w:rsidRPr="002731BE">
        <w:rPr>
          <w:rFonts w:eastAsia="Times New Roman"/>
          <w:szCs w:val="24"/>
        </w:rPr>
        <w:lastRenderedPageBreak/>
        <w:t xml:space="preserve">The role of the Board is to assist </w:t>
      </w:r>
      <w:r w:rsidR="00720D73" w:rsidRPr="00612BF2">
        <w:rPr>
          <w:bCs/>
        </w:rPr>
        <w:t>[</w:t>
      </w:r>
      <w:r w:rsidR="00720D73" w:rsidRPr="00612BF2">
        <w:rPr>
          <w:bCs/>
          <w:highlight w:val="yellow"/>
        </w:rPr>
        <w:t xml:space="preserve">INSERT NAME </w:t>
      </w:r>
      <w:r w:rsidR="00720D73">
        <w:rPr>
          <w:bCs/>
          <w:highlight w:val="yellow"/>
        </w:rPr>
        <w:t xml:space="preserve">County Council/ </w:t>
      </w:r>
      <w:r w:rsidR="00720D73" w:rsidRPr="00612BF2">
        <w:rPr>
          <w:bCs/>
          <w:highlight w:val="yellow"/>
        </w:rPr>
        <w:t>Fire and Rescue Authority/ PFCC/ London Fire Commissioner</w:t>
      </w:r>
      <w:r w:rsidR="00720D73" w:rsidRPr="00612BF2">
        <w:rPr>
          <w:bCs/>
        </w:rPr>
        <w:t>]</w:t>
      </w:r>
      <w:r w:rsidR="00720D73">
        <w:rPr>
          <w:bCs/>
        </w:rPr>
        <w:t xml:space="preserve"> </w:t>
      </w:r>
      <w:r w:rsidRPr="002731BE">
        <w:rPr>
          <w:rFonts w:eastAsia="Times New Roman"/>
          <w:szCs w:val="24"/>
        </w:rPr>
        <w:t xml:space="preserve">as </w:t>
      </w:r>
      <w:r w:rsidR="00720D73">
        <w:rPr>
          <w:rFonts w:eastAsia="Times New Roman"/>
          <w:szCs w:val="24"/>
        </w:rPr>
        <w:t>s</w:t>
      </w:r>
      <w:r w:rsidRPr="002731BE">
        <w:rPr>
          <w:rFonts w:eastAsia="Times New Roman"/>
          <w:szCs w:val="24"/>
        </w:rPr>
        <w:t xml:space="preserve">cheme </w:t>
      </w:r>
      <w:r w:rsidR="00720D73">
        <w:rPr>
          <w:rFonts w:eastAsia="Times New Roman"/>
          <w:szCs w:val="24"/>
        </w:rPr>
        <w:t>m</w:t>
      </w:r>
      <w:r w:rsidRPr="002731BE">
        <w:rPr>
          <w:rFonts w:eastAsia="Times New Roman"/>
          <w:szCs w:val="24"/>
        </w:rPr>
        <w:t>anager</w:t>
      </w:r>
      <w:r w:rsidR="00972F18">
        <w:rPr>
          <w:rStyle w:val="FootnoteReference"/>
          <w:rFonts w:eastAsia="Times New Roman"/>
          <w:szCs w:val="24"/>
        </w:rPr>
        <w:footnoteReference w:id="9"/>
      </w:r>
      <w:r w:rsidRPr="002731BE">
        <w:rPr>
          <w:rFonts w:eastAsia="Times New Roman"/>
          <w:szCs w:val="24"/>
        </w:rPr>
        <w:t xml:space="preserve">: </w:t>
      </w:r>
    </w:p>
    <w:p w14:paraId="173ABD81" w14:textId="77777777" w:rsidR="0012726F" w:rsidRPr="002731BE" w:rsidRDefault="0012726F" w:rsidP="00405329">
      <w:pPr>
        <w:pStyle w:val="Bulletlist"/>
      </w:pPr>
      <w:r w:rsidRPr="002731BE">
        <w:t>to secure compliance with the FPS Regulations and any other legislation relating to the governance and administration of the Scheme, and requirements imposed in relation to the FPS by the Pensions Regulator; and</w:t>
      </w:r>
    </w:p>
    <w:p w14:paraId="4384CABD" w14:textId="77777777" w:rsidR="0012726F" w:rsidRPr="002731BE" w:rsidRDefault="0012726F" w:rsidP="00405329">
      <w:pPr>
        <w:pStyle w:val="Bulletlist"/>
      </w:pPr>
      <w:r w:rsidRPr="002731BE">
        <w:t>to ensure the effective and efficient governance and administration of the FPS.</w:t>
      </w:r>
    </w:p>
    <w:p w14:paraId="5A183E1E" w14:textId="2954FF6A" w:rsidR="0012726F" w:rsidRPr="002731BE" w:rsidRDefault="0012726F" w:rsidP="0012726F">
      <w:pPr>
        <w:widowControl w:val="0"/>
        <w:suppressLineNumbers/>
        <w:autoSpaceDE w:val="0"/>
        <w:autoSpaceDN w:val="0"/>
        <w:adjustRightInd w:val="0"/>
        <w:jc w:val="both"/>
        <w:rPr>
          <w:rFonts w:eastAsia="Times New Roman"/>
          <w:color w:val="000000"/>
          <w:szCs w:val="24"/>
        </w:rPr>
      </w:pPr>
      <w:r w:rsidRPr="002731BE">
        <w:rPr>
          <w:rFonts w:eastAsia="Times New Roman"/>
          <w:szCs w:val="24"/>
        </w:rPr>
        <w:t>The Board provides oversight of these matters and, accordingly, it is not a decision</w:t>
      </w:r>
      <w:r w:rsidR="000F0063">
        <w:rPr>
          <w:rFonts w:eastAsia="Times New Roman"/>
          <w:szCs w:val="24"/>
        </w:rPr>
        <w:t>-</w:t>
      </w:r>
      <w:r w:rsidRPr="002731BE">
        <w:rPr>
          <w:rFonts w:eastAsia="Times New Roman"/>
          <w:szCs w:val="24"/>
        </w:rPr>
        <w:t xml:space="preserve">making body in relation to the management or administration of the FPS but makes recommendations to assist in such management.   </w:t>
      </w:r>
    </w:p>
    <w:p w14:paraId="50FC9FFB" w14:textId="1497B6CB" w:rsidR="0012726F" w:rsidRPr="002731BE" w:rsidRDefault="0012726F" w:rsidP="0012726F">
      <w:pPr>
        <w:widowControl w:val="0"/>
        <w:suppressLineNumbers/>
        <w:overflowPunct w:val="0"/>
        <w:autoSpaceDE w:val="0"/>
        <w:autoSpaceDN w:val="0"/>
        <w:adjustRightInd w:val="0"/>
        <w:textAlignment w:val="baseline"/>
        <w:outlineLvl w:val="0"/>
        <w:rPr>
          <w:rFonts w:eastAsia="Times New Roman"/>
          <w:b/>
          <w:szCs w:val="24"/>
        </w:rPr>
      </w:pPr>
      <w:r w:rsidRPr="002731BE">
        <w:rPr>
          <w:rFonts w:eastAsia="Times New Roman"/>
          <w:b/>
          <w:szCs w:val="24"/>
        </w:rPr>
        <w:t>Governance objectives</w:t>
      </w:r>
    </w:p>
    <w:p w14:paraId="335B6342" w14:textId="32C98EB0" w:rsidR="0012726F" w:rsidRPr="0048723C" w:rsidRDefault="0012726F" w:rsidP="00405329">
      <w:pPr>
        <w:pStyle w:val="Bulletlist"/>
      </w:pPr>
      <w:r w:rsidRPr="00166AAA">
        <w:t xml:space="preserve">To ensure robust governance arrangements are in place to facilitate informed decision making supported by appropriate advice, policies and </w:t>
      </w:r>
      <w:proofErr w:type="gramStart"/>
      <w:r w:rsidRPr="00166AAA">
        <w:t>strategies;</w:t>
      </w:r>
      <w:proofErr w:type="gramEnd"/>
    </w:p>
    <w:p w14:paraId="53FBA202" w14:textId="77777777" w:rsidR="0012726F" w:rsidRPr="00DB1D57" w:rsidRDefault="0012726F" w:rsidP="00405329">
      <w:pPr>
        <w:pStyle w:val="Bulletlist"/>
      </w:pPr>
      <w:r w:rsidRPr="008521F7">
        <w:t>To ensure the FPS is administered and its services delivered by people who have the appropriate knowledge</w:t>
      </w:r>
      <w:r w:rsidRPr="00DB1D57">
        <w:t xml:space="preserve"> and </w:t>
      </w:r>
      <w:proofErr w:type="gramStart"/>
      <w:r w:rsidRPr="00DB1D57">
        <w:t>expertise;</w:t>
      </w:r>
      <w:proofErr w:type="gramEnd"/>
      <w:r w:rsidRPr="00DB1D57">
        <w:t xml:space="preserve"> </w:t>
      </w:r>
    </w:p>
    <w:p w14:paraId="78D8FF69" w14:textId="77777777" w:rsidR="0012726F" w:rsidRPr="00405329" w:rsidRDefault="0012726F" w:rsidP="00405329">
      <w:pPr>
        <w:pStyle w:val="Bulletlist"/>
      </w:pPr>
      <w:r w:rsidRPr="0025107E">
        <w:t>To ensure compliance with all appropriate legislation and statutory guidance, and to act in the spirit of other relevant guidelines and best practice guidance; and</w:t>
      </w:r>
    </w:p>
    <w:p w14:paraId="11859A87" w14:textId="77777777" w:rsidR="0012726F" w:rsidRPr="00405329" w:rsidRDefault="0012726F" w:rsidP="00405329">
      <w:pPr>
        <w:pStyle w:val="Bulletlist"/>
      </w:pPr>
      <w:r w:rsidRPr="00405329">
        <w:t>To identify and manage potential and actual conflicts of interest.</w:t>
      </w:r>
    </w:p>
    <w:p w14:paraId="21D81190" w14:textId="77777777" w:rsidR="008D4C6B" w:rsidRPr="00E3079E" w:rsidRDefault="008D4C6B" w:rsidP="00E3079E">
      <w:pPr>
        <w:rPr>
          <w:rFonts w:asciiTheme="minorHAnsi" w:hAnsiTheme="minorHAnsi"/>
        </w:rPr>
      </w:pPr>
    </w:p>
    <w:sectPr w:rsidR="008D4C6B" w:rsidRPr="00E3079E" w:rsidSect="00916C35">
      <w:headerReference w:type="even" r:id="rId52"/>
      <w:headerReference w:type="default" r:id="rId53"/>
      <w:footerReference w:type="default" r:id="rId54"/>
      <w:headerReference w:type="first" r:id="rId55"/>
      <w:pgSz w:w="11906" w:h="16838"/>
      <w:pgMar w:top="1008" w:right="1008" w:bottom="1008" w:left="1008" w:header="706" w:footer="70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A9742F" w14:textId="77777777" w:rsidR="001057DD" w:rsidRDefault="001057DD" w:rsidP="00763A84">
      <w:r>
        <w:separator/>
      </w:r>
    </w:p>
    <w:p w14:paraId="2CDAFB81" w14:textId="77777777" w:rsidR="001057DD" w:rsidRDefault="001057DD"/>
    <w:p w14:paraId="67EF41D4" w14:textId="77777777" w:rsidR="001057DD" w:rsidRDefault="001057DD" w:rsidP="00815E73"/>
  </w:endnote>
  <w:endnote w:type="continuationSeparator" w:id="0">
    <w:p w14:paraId="57ED23E0" w14:textId="77777777" w:rsidR="001057DD" w:rsidRDefault="001057DD" w:rsidP="00763A84">
      <w:r>
        <w:continuationSeparator/>
      </w:r>
    </w:p>
    <w:p w14:paraId="3F8624B0" w14:textId="77777777" w:rsidR="001057DD" w:rsidRDefault="001057DD"/>
    <w:p w14:paraId="183A4563" w14:textId="77777777" w:rsidR="001057DD" w:rsidRDefault="001057DD" w:rsidP="00815E7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Impact">
    <w:panose1 w:val="020B080603090205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29146456"/>
      <w:docPartObj>
        <w:docPartGallery w:val="Page Numbers (Bottom of Page)"/>
        <w:docPartUnique/>
      </w:docPartObj>
    </w:sdtPr>
    <w:sdtEndPr>
      <w:rPr>
        <w:noProof/>
      </w:rPr>
    </w:sdtEndPr>
    <w:sdtContent>
      <w:p w14:paraId="047128F0" w14:textId="0217FD0F" w:rsidR="001922F3" w:rsidRDefault="001922F3">
        <w:pPr>
          <w:pStyle w:val="Footer"/>
          <w:jc w:val="right"/>
        </w:pPr>
        <w:r>
          <w:fldChar w:fldCharType="begin"/>
        </w:r>
        <w:r>
          <w:instrText xml:space="preserve"> PAGE   \* MERGEFORMAT </w:instrText>
        </w:r>
        <w:r>
          <w:fldChar w:fldCharType="separate"/>
        </w:r>
        <w:r>
          <w:rPr>
            <w:noProof/>
          </w:rPr>
          <w:t>5</w:t>
        </w:r>
        <w:r>
          <w:rPr>
            <w:noProof/>
          </w:rPr>
          <w:fldChar w:fldCharType="end"/>
        </w:r>
      </w:p>
    </w:sdtContent>
  </w:sdt>
  <w:p w14:paraId="043C3E22" w14:textId="6E69E2CD" w:rsidR="001922F3" w:rsidRPr="00316485" w:rsidRDefault="00C52DDA">
    <w:pPr>
      <w:pStyle w:val="Footer"/>
      <w:rPr>
        <w:rFonts w:cs="Arial"/>
        <w:color w:val="A6A6A6" w:themeColor="background1" w:themeShade="A6"/>
      </w:rPr>
    </w:pPr>
    <w:r>
      <w:rPr>
        <w:rFonts w:cs="Arial"/>
      </w:rPr>
      <w:t xml:space="preserve">Pension administration strategy </w:t>
    </w:r>
    <w:r w:rsidR="006E2292">
      <w:rPr>
        <w:rFonts w:cs="Arial"/>
      </w:rPr>
      <w:t xml:space="preserve">v1: </w:t>
    </w:r>
    <w:r w:rsidR="00EE6703">
      <w:rPr>
        <w:rFonts w:cs="Arial"/>
      </w:rPr>
      <w:t>Ju</w:t>
    </w:r>
    <w:r w:rsidR="00166AAA">
      <w:rPr>
        <w:rFonts w:cs="Arial"/>
      </w:rPr>
      <w:t>ly</w:t>
    </w:r>
    <w:r w:rsidR="0062249F">
      <w:rPr>
        <w:rFonts w:cs="Arial"/>
      </w:rPr>
      <w:t xml:space="preserve"> </w:t>
    </w:r>
    <w:r w:rsidR="006E2292">
      <w:rPr>
        <w:rFonts w:cs="Arial"/>
      </w:rPr>
      <w:t>202</w:t>
    </w:r>
    <w:r w:rsidR="0062249F">
      <w:rPr>
        <w:rFonts w:cs="Arial"/>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7581C0" w14:textId="77777777" w:rsidR="001057DD" w:rsidRDefault="001057DD">
      <w:pPr>
        <w:spacing w:after="0"/>
      </w:pPr>
    </w:p>
  </w:footnote>
  <w:footnote w:type="continuationSeparator" w:id="0">
    <w:p w14:paraId="2A8EE542" w14:textId="77777777" w:rsidR="001057DD" w:rsidRDefault="001057DD"/>
  </w:footnote>
  <w:footnote w:id="1">
    <w:p w14:paraId="23CED1DA" w14:textId="64F38F7B" w:rsidR="00FC07E1" w:rsidRDefault="00FC07E1" w:rsidP="00464FC1">
      <w:pPr>
        <w:pStyle w:val="FootnoteText"/>
      </w:pPr>
      <w:r>
        <w:rPr>
          <w:rStyle w:val="FootnoteReference"/>
        </w:rPr>
        <w:footnoteRef/>
      </w:r>
      <w:r>
        <w:t xml:space="preserve"> </w:t>
      </w:r>
      <w:hyperlink r:id="rId1" w:history="1">
        <w:r w:rsidR="00AF0FD3">
          <w:rPr>
            <w:rStyle w:val="Hyperlink"/>
          </w:rPr>
          <w:t>http://www.legislation.gov.uk/uksi/2014/2848/regulation/4/made</w:t>
        </w:r>
      </w:hyperlink>
    </w:p>
  </w:footnote>
  <w:footnote w:id="2">
    <w:p w14:paraId="7CDD3DC2" w14:textId="4F622F67" w:rsidR="00EE132C" w:rsidRDefault="00EE132C">
      <w:pPr>
        <w:pStyle w:val="FootnoteText"/>
      </w:pPr>
      <w:r>
        <w:rPr>
          <w:rStyle w:val="FootnoteReference"/>
        </w:rPr>
        <w:footnoteRef/>
      </w:r>
      <w:r>
        <w:t xml:space="preserve"> </w:t>
      </w:r>
      <w:hyperlink r:id="rId2" w:history="1">
        <w:r w:rsidRPr="00EE132C">
          <w:rPr>
            <w:rStyle w:val="Hyperlink"/>
          </w:rPr>
          <w:t>https://www.legislation.gov.uk/uksi/2014/2848/regulation/5/made</w:t>
        </w:r>
      </w:hyperlink>
    </w:p>
  </w:footnote>
  <w:footnote w:id="3">
    <w:p w14:paraId="6E52A83B" w14:textId="7217BE15" w:rsidR="00AF0FD3" w:rsidRDefault="00AF0FD3">
      <w:pPr>
        <w:pStyle w:val="FootnoteText"/>
      </w:pPr>
      <w:r>
        <w:rPr>
          <w:rStyle w:val="FootnoteReference"/>
        </w:rPr>
        <w:footnoteRef/>
      </w:r>
      <w:r>
        <w:t xml:space="preserve"> </w:t>
      </w:r>
      <w:hyperlink r:id="rId3" w:history="1">
        <w:r w:rsidR="007F6723">
          <w:rPr>
            <w:rStyle w:val="Hyperlink"/>
          </w:rPr>
          <w:t>http://www.legislation.gov.uk/uksi/2015/465/regulation/4/made</w:t>
        </w:r>
      </w:hyperlink>
    </w:p>
  </w:footnote>
  <w:footnote w:id="4">
    <w:p w14:paraId="566121ED" w14:textId="5806CC85" w:rsidR="003B23B9" w:rsidRDefault="003B23B9">
      <w:pPr>
        <w:pStyle w:val="FootnoteText"/>
      </w:pPr>
      <w:r>
        <w:rPr>
          <w:rStyle w:val="FootnoteReference"/>
        </w:rPr>
        <w:footnoteRef/>
      </w:r>
      <w:r>
        <w:t xml:space="preserve"> </w:t>
      </w:r>
      <w:hyperlink r:id="rId4" w:history="1">
        <w:r w:rsidR="006F7A5B" w:rsidRPr="006F7A5B">
          <w:rPr>
            <w:rStyle w:val="Hyperlink"/>
          </w:rPr>
          <w:t>TPO – Redress for non-financial injustice factsheet</w:t>
        </w:r>
      </w:hyperlink>
    </w:p>
  </w:footnote>
  <w:footnote w:id="5">
    <w:p w14:paraId="2BC93ED1" w14:textId="239E1F86" w:rsidR="004A3625" w:rsidRDefault="004A3625">
      <w:pPr>
        <w:pStyle w:val="FootnoteText"/>
      </w:pPr>
      <w:r>
        <w:rPr>
          <w:rStyle w:val="FootnoteReference"/>
        </w:rPr>
        <w:footnoteRef/>
      </w:r>
      <w:r>
        <w:t xml:space="preserve"> TPR is currently consulting on a new modular code of practice which consolidates the existing codes. </w:t>
      </w:r>
    </w:p>
  </w:footnote>
  <w:footnote w:id="6">
    <w:p w14:paraId="0978821B" w14:textId="457DB349" w:rsidR="00246694" w:rsidRDefault="00246694">
      <w:pPr>
        <w:pStyle w:val="FootnoteText"/>
      </w:pPr>
      <w:r>
        <w:rPr>
          <w:rStyle w:val="FootnoteReference"/>
        </w:rPr>
        <w:footnoteRef/>
      </w:r>
      <w:r>
        <w:t xml:space="preserve"> </w:t>
      </w:r>
      <w:r>
        <w:rPr>
          <w:bCs/>
          <w:szCs w:val="24"/>
        </w:rPr>
        <w:t>As noted above, TPR is consulting on a new consolidated code of practice to replace the existing codes.</w:t>
      </w:r>
    </w:p>
  </w:footnote>
  <w:footnote w:id="7">
    <w:p w14:paraId="42DD48A8" w14:textId="3539FFBA" w:rsidR="00897E35" w:rsidRDefault="00897E35">
      <w:pPr>
        <w:pStyle w:val="FootnoteText"/>
      </w:pPr>
      <w:r>
        <w:rPr>
          <w:rStyle w:val="FootnoteReference"/>
        </w:rPr>
        <w:footnoteRef/>
      </w:r>
      <w:r>
        <w:t xml:space="preserve"> </w:t>
      </w:r>
      <w:hyperlink r:id="rId5" w:history="1">
        <w:r w:rsidRPr="00897E35">
          <w:rPr>
            <w:rStyle w:val="Hyperlink"/>
          </w:rPr>
          <w:t>https://www.legislation.gov.uk/uksi/2014/2848/regulation/4/made</w:t>
        </w:r>
      </w:hyperlink>
    </w:p>
  </w:footnote>
  <w:footnote w:id="8">
    <w:p w14:paraId="0CAA3AB9" w14:textId="25E46124" w:rsidR="008041C8" w:rsidRDefault="008041C8">
      <w:pPr>
        <w:pStyle w:val="FootnoteText"/>
      </w:pPr>
      <w:r>
        <w:rPr>
          <w:rStyle w:val="FootnoteReference"/>
        </w:rPr>
        <w:footnoteRef/>
      </w:r>
      <w:r>
        <w:t xml:space="preserve"> </w:t>
      </w:r>
      <w:hyperlink r:id="rId6" w:history="1">
        <w:r w:rsidR="00F275E1" w:rsidRPr="00F275E1">
          <w:rPr>
            <w:rStyle w:val="Hyperlink"/>
          </w:rPr>
          <w:t>https://www.legislation.gov.uk/uksi/2014/2848/regulation/5/made</w:t>
        </w:r>
      </w:hyperlink>
    </w:p>
  </w:footnote>
  <w:footnote w:id="9">
    <w:p w14:paraId="34553A15" w14:textId="0040240D" w:rsidR="00972F18" w:rsidRDefault="00972F18">
      <w:pPr>
        <w:pStyle w:val="FootnoteText"/>
      </w:pPr>
      <w:r>
        <w:rPr>
          <w:rStyle w:val="FootnoteReference"/>
        </w:rPr>
        <w:footnoteRef/>
      </w:r>
      <w:r>
        <w:t xml:space="preserve"> </w:t>
      </w:r>
      <w:hyperlink r:id="rId7" w:history="1">
        <w:r w:rsidRPr="00972F18">
          <w:rPr>
            <w:rStyle w:val="Hyperlink"/>
          </w:rPr>
          <w:t>https://www.legislation.gov.uk/uksi/2015/465/regulation/4/made</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DDB0CB" w14:textId="6F6CDDDC" w:rsidR="009B7008" w:rsidRDefault="009B70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4D7B69" w14:textId="3E8838CF" w:rsidR="009B7008" w:rsidRDefault="009B70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0F8980" w14:textId="584F25E0" w:rsidR="009B7008" w:rsidRDefault="009B70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8E481C"/>
    <w:multiLevelType w:val="multilevel"/>
    <w:tmpl w:val="08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08096C7D"/>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9470985"/>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B875BC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4A946BA"/>
    <w:multiLevelType w:val="hybridMultilevel"/>
    <w:tmpl w:val="07C2E8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5DC246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70F141D"/>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C3A675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E27449C"/>
    <w:multiLevelType w:val="hybridMultilevel"/>
    <w:tmpl w:val="C17083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FCB4A55"/>
    <w:multiLevelType w:val="multilevel"/>
    <w:tmpl w:val="08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 w15:restartNumberingAfterBreak="0">
    <w:nsid w:val="30DC286B"/>
    <w:multiLevelType w:val="hybridMultilevel"/>
    <w:tmpl w:val="9524E9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3323A93"/>
    <w:multiLevelType w:val="hybridMultilevel"/>
    <w:tmpl w:val="D0C6BF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8512C59"/>
    <w:multiLevelType w:val="hybridMultilevel"/>
    <w:tmpl w:val="0570F0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A853836"/>
    <w:multiLevelType w:val="multilevel"/>
    <w:tmpl w:val="593CB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D8C58EA"/>
    <w:multiLevelType w:val="hybridMultilevel"/>
    <w:tmpl w:val="D1903638"/>
    <w:lvl w:ilvl="0" w:tplc="66E4A3B6">
      <w:start w:val="1"/>
      <w:numFmt w:val="decimal"/>
      <w:lvlText w:val="%1."/>
      <w:lvlJc w:val="left"/>
      <w:pPr>
        <w:ind w:left="72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3E1646C"/>
    <w:multiLevelType w:val="hybridMultilevel"/>
    <w:tmpl w:val="BC76A7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4C861F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B2D5082"/>
    <w:multiLevelType w:val="hybridMultilevel"/>
    <w:tmpl w:val="AB08C4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F007DF2"/>
    <w:multiLevelType w:val="hybridMultilevel"/>
    <w:tmpl w:val="1B303F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12C4145"/>
    <w:multiLevelType w:val="hybridMultilevel"/>
    <w:tmpl w:val="68282758"/>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0" w15:restartNumberingAfterBreak="0">
    <w:nsid w:val="56D4469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64BA074E"/>
    <w:multiLevelType w:val="hybridMultilevel"/>
    <w:tmpl w:val="4DD664EE"/>
    <w:lvl w:ilvl="0" w:tplc="DB641094">
      <w:start w:val="1"/>
      <w:numFmt w:val="bullet"/>
      <w:pStyle w:val="Bulletlist"/>
      <w:lvlText w:val=""/>
      <w:lvlJc w:val="left"/>
      <w:pPr>
        <w:ind w:left="1725" w:hanging="360"/>
      </w:pPr>
      <w:rPr>
        <w:rFonts w:ascii="Symbol" w:hAnsi="Symbol" w:hint="default"/>
      </w:rPr>
    </w:lvl>
    <w:lvl w:ilvl="1" w:tplc="08090003" w:tentative="1">
      <w:start w:val="1"/>
      <w:numFmt w:val="bullet"/>
      <w:lvlText w:val="o"/>
      <w:lvlJc w:val="left"/>
      <w:pPr>
        <w:ind w:left="2448" w:hanging="360"/>
      </w:pPr>
      <w:rPr>
        <w:rFonts w:ascii="Courier New" w:hAnsi="Courier New" w:cs="Courier New" w:hint="default"/>
      </w:rPr>
    </w:lvl>
    <w:lvl w:ilvl="2" w:tplc="08090005" w:tentative="1">
      <w:start w:val="1"/>
      <w:numFmt w:val="bullet"/>
      <w:lvlText w:val=""/>
      <w:lvlJc w:val="left"/>
      <w:pPr>
        <w:ind w:left="3168" w:hanging="360"/>
      </w:pPr>
      <w:rPr>
        <w:rFonts w:ascii="Wingdings" w:hAnsi="Wingdings" w:hint="default"/>
      </w:rPr>
    </w:lvl>
    <w:lvl w:ilvl="3" w:tplc="08090001" w:tentative="1">
      <w:start w:val="1"/>
      <w:numFmt w:val="bullet"/>
      <w:lvlText w:val=""/>
      <w:lvlJc w:val="left"/>
      <w:pPr>
        <w:ind w:left="3888" w:hanging="360"/>
      </w:pPr>
      <w:rPr>
        <w:rFonts w:ascii="Symbol" w:hAnsi="Symbol" w:hint="default"/>
      </w:rPr>
    </w:lvl>
    <w:lvl w:ilvl="4" w:tplc="08090003" w:tentative="1">
      <w:start w:val="1"/>
      <w:numFmt w:val="bullet"/>
      <w:lvlText w:val="o"/>
      <w:lvlJc w:val="left"/>
      <w:pPr>
        <w:ind w:left="4608" w:hanging="360"/>
      </w:pPr>
      <w:rPr>
        <w:rFonts w:ascii="Courier New" w:hAnsi="Courier New" w:cs="Courier New" w:hint="default"/>
      </w:rPr>
    </w:lvl>
    <w:lvl w:ilvl="5" w:tplc="08090005" w:tentative="1">
      <w:start w:val="1"/>
      <w:numFmt w:val="bullet"/>
      <w:lvlText w:val=""/>
      <w:lvlJc w:val="left"/>
      <w:pPr>
        <w:ind w:left="5328" w:hanging="360"/>
      </w:pPr>
      <w:rPr>
        <w:rFonts w:ascii="Wingdings" w:hAnsi="Wingdings" w:hint="default"/>
      </w:rPr>
    </w:lvl>
    <w:lvl w:ilvl="6" w:tplc="08090001" w:tentative="1">
      <w:start w:val="1"/>
      <w:numFmt w:val="bullet"/>
      <w:lvlText w:val=""/>
      <w:lvlJc w:val="left"/>
      <w:pPr>
        <w:ind w:left="6048" w:hanging="360"/>
      </w:pPr>
      <w:rPr>
        <w:rFonts w:ascii="Symbol" w:hAnsi="Symbol" w:hint="default"/>
      </w:rPr>
    </w:lvl>
    <w:lvl w:ilvl="7" w:tplc="08090003" w:tentative="1">
      <w:start w:val="1"/>
      <w:numFmt w:val="bullet"/>
      <w:lvlText w:val="o"/>
      <w:lvlJc w:val="left"/>
      <w:pPr>
        <w:ind w:left="6768" w:hanging="360"/>
      </w:pPr>
      <w:rPr>
        <w:rFonts w:ascii="Courier New" w:hAnsi="Courier New" w:cs="Courier New" w:hint="default"/>
      </w:rPr>
    </w:lvl>
    <w:lvl w:ilvl="8" w:tplc="08090005" w:tentative="1">
      <w:start w:val="1"/>
      <w:numFmt w:val="bullet"/>
      <w:lvlText w:val=""/>
      <w:lvlJc w:val="left"/>
      <w:pPr>
        <w:ind w:left="7488" w:hanging="360"/>
      </w:pPr>
      <w:rPr>
        <w:rFonts w:ascii="Wingdings" w:hAnsi="Wingdings" w:hint="default"/>
      </w:rPr>
    </w:lvl>
  </w:abstractNum>
  <w:abstractNum w:abstractNumId="22" w15:restartNumberingAfterBreak="0">
    <w:nsid w:val="65E30ED7"/>
    <w:multiLevelType w:val="multilevel"/>
    <w:tmpl w:val="FF2CD734"/>
    <w:lvl w:ilvl="0">
      <w:start w:val="1"/>
      <w:numFmt w:val="bullet"/>
      <w:lvlText w:val=""/>
      <w:lvlJc w:val="left"/>
      <w:pPr>
        <w:tabs>
          <w:tab w:val="num" w:pos="720"/>
        </w:tabs>
        <w:ind w:left="720" w:hanging="360"/>
      </w:pPr>
      <w:rPr>
        <w:rFonts w:ascii="Symbol" w:hAnsi="Symbol" w:hint="default"/>
        <w:sz w:val="20"/>
      </w:rPr>
    </w:lvl>
    <w:lvl w:ilvl="1">
      <w:start w:val="5"/>
      <w:numFmt w:val="bullet"/>
      <w:lvlText w:val="-"/>
      <w:lvlJc w:val="left"/>
      <w:pPr>
        <w:ind w:left="1440" w:hanging="360"/>
      </w:pPr>
      <w:rPr>
        <w:rFonts w:ascii="Arial" w:eastAsiaTheme="minorHAnsi" w:hAnsi="Arial" w:cs="Aria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70C77A5"/>
    <w:multiLevelType w:val="hybridMultilevel"/>
    <w:tmpl w:val="6AC819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8FF56A9"/>
    <w:multiLevelType w:val="hybridMultilevel"/>
    <w:tmpl w:val="E00EFC2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7246297A"/>
    <w:multiLevelType w:val="hybridMultilevel"/>
    <w:tmpl w:val="B7304360"/>
    <w:lvl w:ilvl="0" w:tplc="08090019">
      <w:start w:val="1"/>
      <w:numFmt w:val="lowerLetter"/>
      <w:lvlText w:val="%1."/>
      <w:lvlJc w:val="left"/>
      <w:pPr>
        <w:ind w:left="1725" w:hanging="360"/>
      </w:pPr>
      <w:rPr>
        <w:rFonts w:hint="default"/>
      </w:rPr>
    </w:lvl>
    <w:lvl w:ilvl="1" w:tplc="08090003" w:tentative="1">
      <w:start w:val="1"/>
      <w:numFmt w:val="bullet"/>
      <w:lvlText w:val="o"/>
      <w:lvlJc w:val="left"/>
      <w:pPr>
        <w:ind w:left="2448" w:hanging="360"/>
      </w:pPr>
      <w:rPr>
        <w:rFonts w:ascii="Courier New" w:hAnsi="Courier New" w:cs="Courier New" w:hint="default"/>
      </w:rPr>
    </w:lvl>
    <w:lvl w:ilvl="2" w:tplc="08090005" w:tentative="1">
      <w:start w:val="1"/>
      <w:numFmt w:val="bullet"/>
      <w:lvlText w:val=""/>
      <w:lvlJc w:val="left"/>
      <w:pPr>
        <w:ind w:left="3168" w:hanging="360"/>
      </w:pPr>
      <w:rPr>
        <w:rFonts w:ascii="Wingdings" w:hAnsi="Wingdings" w:hint="default"/>
      </w:rPr>
    </w:lvl>
    <w:lvl w:ilvl="3" w:tplc="08090001" w:tentative="1">
      <w:start w:val="1"/>
      <w:numFmt w:val="bullet"/>
      <w:lvlText w:val=""/>
      <w:lvlJc w:val="left"/>
      <w:pPr>
        <w:ind w:left="3888" w:hanging="360"/>
      </w:pPr>
      <w:rPr>
        <w:rFonts w:ascii="Symbol" w:hAnsi="Symbol" w:hint="default"/>
      </w:rPr>
    </w:lvl>
    <w:lvl w:ilvl="4" w:tplc="08090003" w:tentative="1">
      <w:start w:val="1"/>
      <w:numFmt w:val="bullet"/>
      <w:lvlText w:val="o"/>
      <w:lvlJc w:val="left"/>
      <w:pPr>
        <w:ind w:left="4608" w:hanging="360"/>
      </w:pPr>
      <w:rPr>
        <w:rFonts w:ascii="Courier New" w:hAnsi="Courier New" w:cs="Courier New" w:hint="default"/>
      </w:rPr>
    </w:lvl>
    <w:lvl w:ilvl="5" w:tplc="08090005" w:tentative="1">
      <w:start w:val="1"/>
      <w:numFmt w:val="bullet"/>
      <w:lvlText w:val=""/>
      <w:lvlJc w:val="left"/>
      <w:pPr>
        <w:ind w:left="5328" w:hanging="360"/>
      </w:pPr>
      <w:rPr>
        <w:rFonts w:ascii="Wingdings" w:hAnsi="Wingdings" w:hint="default"/>
      </w:rPr>
    </w:lvl>
    <w:lvl w:ilvl="6" w:tplc="08090001" w:tentative="1">
      <w:start w:val="1"/>
      <w:numFmt w:val="bullet"/>
      <w:lvlText w:val=""/>
      <w:lvlJc w:val="left"/>
      <w:pPr>
        <w:ind w:left="6048" w:hanging="360"/>
      </w:pPr>
      <w:rPr>
        <w:rFonts w:ascii="Symbol" w:hAnsi="Symbol" w:hint="default"/>
      </w:rPr>
    </w:lvl>
    <w:lvl w:ilvl="7" w:tplc="08090003" w:tentative="1">
      <w:start w:val="1"/>
      <w:numFmt w:val="bullet"/>
      <w:lvlText w:val="o"/>
      <w:lvlJc w:val="left"/>
      <w:pPr>
        <w:ind w:left="6768" w:hanging="360"/>
      </w:pPr>
      <w:rPr>
        <w:rFonts w:ascii="Courier New" w:hAnsi="Courier New" w:cs="Courier New" w:hint="default"/>
      </w:rPr>
    </w:lvl>
    <w:lvl w:ilvl="8" w:tplc="08090005" w:tentative="1">
      <w:start w:val="1"/>
      <w:numFmt w:val="bullet"/>
      <w:lvlText w:val=""/>
      <w:lvlJc w:val="left"/>
      <w:pPr>
        <w:ind w:left="7488" w:hanging="360"/>
      </w:pPr>
      <w:rPr>
        <w:rFonts w:ascii="Wingdings" w:hAnsi="Wingdings" w:hint="default"/>
      </w:rPr>
    </w:lvl>
  </w:abstractNum>
  <w:abstractNum w:abstractNumId="26" w15:restartNumberingAfterBreak="0">
    <w:nsid w:val="73D8723A"/>
    <w:multiLevelType w:val="multilevel"/>
    <w:tmpl w:val="593CB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8576C10"/>
    <w:multiLevelType w:val="multilevel"/>
    <w:tmpl w:val="3C947B40"/>
    <w:lvl w:ilvl="0">
      <w:start w:val="1"/>
      <w:numFmt w:val="decimal"/>
      <w:pStyle w:val="Heading1"/>
      <w:lvlText w:val="%1"/>
      <w:lvlJc w:val="left"/>
      <w:pPr>
        <w:ind w:left="432" w:hanging="432"/>
      </w:pPr>
      <w:rPr>
        <w:rFonts w:hint="default"/>
      </w:rPr>
    </w:lvl>
    <w:lvl w:ilvl="1">
      <w:start w:val="1"/>
      <w:numFmt w:val="decimal"/>
      <w:pStyle w:val="Heading2"/>
      <w:suff w:val="space"/>
      <w:lvlText w:val="%1.%2"/>
      <w:lvlJc w:val="left"/>
      <w:pPr>
        <w:ind w:left="3553" w:hanging="576"/>
      </w:pPr>
      <w:rPr>
        <w:rFonts w:hint="default"/>
        <w:sz w:val="36"/>
        <w:szCs w:val="36"/>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8" w15:restartNumberingAfterBreak="0">
    <w:nsid w:val="7C1043CC"/>
    <w:multiLevelType w:val="multilevel"/>
    <w:tmpl w:val="6F50DE20"/>
    <w:lvl w:ilvl="0">
      <w:start w:val="1"/>
      <w:numFmt w:val="decimal"/>
      <w:lvlText w:val="%1."/>
      <w:lvlJc w:val="left"/>
      <w:pPr>
        <w:ind w:left="360" w:hanging="360"/>
      </w:pPr>
      <w:rPr>
        <w:rFonts w:cs="Times New Roman" w:hint="default"/>
        <w:b/>
        <w:bCs w:val="0"/>
        <w:i w:val="0"/>
        <w:iCs w:val="0"/>
        <w:caps w:val="0"/>
        <w:smallCaps w:val="0"/>
        <w:strike w:val="0"/>
        <w:dstrike w:val="0"/>
        <w:noProof w:val="0"/>
        <w:vanish w:val="0"/>
        <w:color w:val="000000"/>
        <w:spacing w:val="0"/>
        <w:kern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suff w:val="space"/>
      <w:lvlText w:val="%1.%2."/>
      <w:lvlJc w:val="left"/>
      <w:pPr>
        <w:ind w:left="792" w:hanging="432"/>
      </w:pPr>
      <w:rPr>
        <w:rFonts w:hint="default"/>
        <w:b w:val="0"/>
        <w:bCs w:val="0"/>
        <w:sz w:val="24"/>
      </w:rPr>
    </w:lvl>
    <w:lvl w:ilvl="2">
      <w:start w:val="1"/>
      <w:numFmt w:val="decimal"/>
      <w:lvlText w:val="%1.%2.%3."/>
      <w:lvlJc w:val="left"/>
      <w:pPr>
        <w:ind w:left="1224" w:hanging="504"/>
      </w:pPr>
      <w:rPr>
        <w:rFonts w:hint="default"/>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2"/>
  </w:num>
  <w:num w:numId="2">
    <w:abstractNumId w:val="27"/>
  </w:num>
  <w:num w:numId="3">
    <w:abstractNumId w:val="13"/>
  </w:num>
  <w:num w:numId="4">
    <w:abstractNumId w:val="26"/>
  </w:num>
  <w:num w:numId="5">
    <w:abstractNumId w:val="4"/>
  </w:num>
  <w:num w:numId="6">
    <w:abstractNumId w:val="1"/>
  </w:num>
  <w:num w:numId="7">
    <w:abstractNumId w:val="2"/>
  </w:num>
  <w:num w:numId="8">
    <w:abstractNumId w:val="2"/>
  </w:num>
  <w:num w:numId="9">
    <w:abstractNumId w:val="2"/>
  </w:num>
  <w:num w:numId="10">
    <w:abstractNumId w:val="2"/>
  </w:num>
  <w:num w:numId="11">
    <w:abstractNumId w:val="22"/>
  </w:num>
  <w:num w:numId="12">
    <w:abstractNumId w:val="7"/>
  </w:num>
  <w:num w:numId="13">
    <w:abstractNumId w:val="5"/>
  </w:num>
  <w:num w:numId="14">
    <w:abstractNumId w:val="23"/>
  </w:num>
  <w:num w:numId="15">
    <w:abstractNumId w:val="10"/>
  </w:num>
  <w:num w:numId="16">
    <w:abstractNumId w:val="20"/>
  </w:num>
  <w:num w:numId="17">
    <w:abstractNumId w:val="3"/>
  </w:num>
  <w:num w:numId="18">
    <w:abstractNumId w:val="18"/>
  </w:num>
  <w:num w:numId="19">
    <w:abstractNumId w:val="6"/>
  </w:num>
  <w:num w:numId="20">
    <w:abstractNumId w:val="17"/>
  </w:num>
  <w:num w:numId="21">
    <w:abstractNumId w:val="16"/>
  </w:num>
  <w:num w:numId="22">
    <w:abstractNumId w:val="12"/>
  </w:num>
  <w:num w:numId="23">
    <w:abstractNumId w:val="19"/>
  </w:num>
  <w:num w:numId="24">
    <w:abstractNumId w:val="8"/>
  </w:num>
  <w:num w:numId="25">
    <w:abstractNumId w:val="28"/>
  </w:num>
  <w:num w:numId="26">
    <w:abstractNumId w:val="14"/>
  </w:num>
  <w:num w:numId="27">
    <w:abstractNumId w:val="0"/>
  </w:num>
  <w:num w:numId="28">
    <w:abstractNumId w:val="9"/>
  </w:num>
  <w:num w:numId="29">
    <w:abstractNumId w:val="21"/>
  </w:num>
  <w:num w:numId="30">
    <w:abstractNumId w:val="25"/>
  </w:num>
  <w:num w:numId="31">
    <w:abstractNumId w:val="27"/>
  </w:num>
  <w:num w:numId="32">
    <w:abstractNumId w:val="24"/>
  </w:num>
  <w:num w:numId="33">
    <w:abstractNumId w:val="15"/>
  </w:num>
  <w:num w:numId="34">
    <w:abstractNumId w:val="11"/>
  </w:num>
  <w:num w:numId="35">
    <w:abstractNumId w:val="2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revisionView w:formatting="0"/>
  <w:defaultTabStop w:val="288"/>
  <w:drawingGridHorizontalSpacing w:val="120"/>
  <w:displayHorizontalDrawingGridEvery w:val="2"/>
  <w:displayVerticalDrawingGridEvery w:val="2"/>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2A06"/>
    <w:rsid w:val="000001DA"/>
    <w:rsid w:val="00003339"/>
    <w:rsid w:val="0000522E"/>
    <w:rsid w:val="00007939"/>
    <w:rsid w:val="00007B7D"/>
    <w:rsid w:val="00007BD0"/>
    <w:rsid w:val="00012561"/>
    <w:rsid w:val="0001294F"/>
    <w:rsid w:val="00014B52"/>
    <w:rsid w:val="00015DDA"/>
    <w:rsid w:val="00016E62"/>
    <w:rsid w:val="00024573"/>
    <w:rsid w:val="00026302"/>
    <w:rsid w:val="00033720"/>
    <w:rsid w:val="000346C9"/>
    <w:rsid w:val="00041CBD"/>
    <w:rsid w:val="000424A7"/>
    <w:rsid w:val="00042D0A"/>
    <w:rsid w:val="00043CFA"/>
    <w:rsid w:val="00045FDF"/>
    <w:rsid w:val="00053DB7"/>
    <w:rsid w:val="00054AC5"/>
    <w:rsid w:val="00056678"/>
    <w:rsid w:val="00064CF2"/>
    <w:rsid w:val="000714E9"/>
    <w:rsid w:val="00071DB4"/>
    <w:rsid w:val="000747F0"/>
    <w:rsid w:val="00074D2B"/>
    <w:rsid w:val="00075271"/>
    <w:rsid w:val="00081A5E"/>
    <w:rsid w:val="000842D8"/>
    <w:rsid w:val="00085483"/>
    <w:rsid w:val="0008663E"/>
    <w:rsid w:val="00090A65"/>
    <w:rsid w:val="00094D01"/>
    <w:rsid w:val="00095F41"/>
    <w:rsid w:val="000A14C8"/>
    <w:rsid w:val="000A25C9"/>
    <w:rsid w:val="000B0A70"/>
    <w:rsid w:val="000B4237"/>
    <w:rsid w:val="000B4729"/>
    <w:rsid w:val="000C3FC9"/>
    <w:rsid w:val="000C46F7"/>
    <w:rsid w:val="000C5859"/>
    <w:rsid w:val="000C6BE4"/>
    <w:rsid w:val="000C738D"/>
    <w:rsid w:val="000D06BA"/>
    <w:rsid w:val="000D2CF2"/>
    <w:rsid w:val="000D743B"/>
    <w:rsid w:val="000E300B"/>
    <w:rsid w:val="000E4A2A"/>
    <w:rsid w:val="000E4F2C"/>
    <w:rsid w:val="000E56E8"/>
    <w:rsid w:val="000E6564"/>
    <w:rsid w:val="000F0063"/>
    <w:rsid w:val="000F1618"/>
    <w:rsid w:val="000F613A"/>
    <w:rsid w:val="0010056B"/>
    <w:rsid w:val="00101141"/>
    <w:rsid w:val="001057DD"/>
    <w:rsid w:val="00117BF1"/>
    <w:rsid w:val="00123557"/>
    <w:rsid w:val="0012726F"/>
    <w:rsid w:val="00127526"/>
    <w:rsid w:val="0013060A"/>
    <w:rsid w:val="00132930"/>
    <w:rsid w:val="00134535"/>
    <w:rsid w:val="00135138"/>
    <w:rsid w:val="0013703B"/>
    <w:rsid w:val="001378A3"/>
    <w:rsid w:val="001406F0"/>
    <w:rsid w:val="001407A3"/>
    <w:rsid w:val="00151AEC"/>
    <w:rsid w:val="001556D4"/>
    <w:rsid w:val="00160692"/>
    <w:rsid w:val="00163052"/>
    <w:rsid w:val="0016331B"/>
    <w:rsid w:val="00164276"/>
    <w:rsid w:val="001657B4"/>
    <w:rsid w:val="00165EFD"/>
    <w:rsid w:val="00166AAA"/>
    <w:rsid w:val="001674B0"/>
    <w:rsid w:val="001736D1"/>
    <w:rsid w:val="00177100"/>
    <w:rsid w:val="00177F48"/>
    <w:rsid w:val="001803B5"/>
    <w:rsid w:val="00181C07"/>
    <w:rsid w:val="00182592"/>
    <w:rsid w:val="00182C1C"/>
    <w:rsid w:val="001854CE"/>
    <w:rsid w:val="00191822"/>
    <w:rsid w:val="001922F3"/>
    <w:rsid w:val="0019393C"/>
    <w:rsid w:val="00194D75"/>
    <w:rsid w:val="001A099D"/>
    <w:rsid w:val="001A298E"/>
    <w:rsid w:val="001B13F1"/>
    <w:rsid w:val="001B1E8A"/>
    <w:rsid w:val="001B271B"/>
    <w:rsid w:val="001B6E7D"/>
    <w:rsid w:val="001C0D86"/>
    <w:rsid w:val="001C2CE3"/>
    <w:rsid w:val="001C4828"/>
    <w:rsid w:val="001C5262"/>
    <w:rsid w:val="001C68BF"/>
    <w:rsid w:val="001D18F5"/>
    <w:rsid w:val="001D4D10"/>
    <w:rsid w:val="001D7CFE"/>
    <w:rsid w:val="001E1836"/>
    <w:rsid w:val="001E3498"/>
    <w:rsid w:val="001E7EEA"/>
    <w:rsid w:val="001F31FA"/>
    <w:rsid w:val="001F440F"/>
    <w:rsid w:val="001F449C"/>
    <w:rsid w:val="001F4899"/>
    <w:rsid w:val="00200DB6"/>
    <w:rsid w:val="002027CB"/>
    <w:rsid w:val="00203300"/>
    <w:rsid w:val="00210B10"/>
    <w:rsid w:val="00212EA9"/>
    <w:rsid w:val="002168F1"/>
    <w:rsid w:val="00227489"/>
    <w:rsid w:val="00233E88"/>
    <w:rsid w:val="00241686"/>
    <w:rsid w:val="00241B2C"/>
    <w:rsid w:val="002422DC"/>
    <w:rsid w:val="002454EE"/>
    <w:rsid w:val="00246694"/>
    <w:rsid w:val="002472DD"/>
    <w:rsid w:val="0025107E"/>
    <w:rsid w:val="00252F11"/>
    <w:rsid w:val="002536E3"/>
    <w:rsid w:val="00253BB3"/>
    <w:rsid w:val="00261CA1"/>
    <w:rsid w:val="00262B1E"/>
    <w:rsid w:val="0026376E"/>
    <w:rsid w:val="0026599D"/>
    <w:rsid w:val="0027266F"/>
    <w:rsid w:val="002737C0"/>
    <w:rsid w:val="0028679A"/>
    <w:rsid w:val="00294247"/>
    <w:rsid w:val="00295BCE"/>
    <w:rsid w:val="002A34B6"/>
    <w:rsid w:val="002A78DF"/>
    <w:rsid w:val="002B0C65"/>
    <w:rsid w:val="002B2732"/>
    <w:rsid w:val="002B5312"/>
    <w:rsid w:val="002C148D"/>
    <w:rsid w:val="002C41D3"/>
    <w:rsid w:val="002C595E"/>
    <w:rsid w:val="002D1DD0"/>
    <w:rsid w:val="002E19EE"/>
    <w:rsid w:val="002E4847"/>
    <w:rsid w:val="002E5085"/>
    <w:rsid w:val="00301F01"/>
    <w:rsid w:val="00302899"/>
    <w:rsid w:val="00316485"/>
    <w:rsid w:val="003243CD"/>
    <w:rsid w:val="00330290"/>
    <w:rsid w:val="00332754"/>
    <w:rsid w:val="00335DF8"/>
    <w:rsid w:val="00341704"/>
    <w:rsid w:val="00342F0C"/>
    <w:rsid w:val="00342FAF"/>
    <w:rsid w:val="003432E7"/>
    <w:rsid w:val="0034364D"/>
    <w:rsid w:val="00344A82"/>
    <w:rsid w:val="003508C4"/>
    <w:rsid w:val="00352A89"/>
    <w:rsid w:val="00353D95"/>
    <w:rsid w:val="00354793"/>
    <w:rsid w:val="0035741E"/>
    <w:rsid w:val="0036249C"/>
    <w:rsid w:val="003703A0"/>
    <w:rsid w:val="00375E0E"/>
    <w:rsid w:val="00377A7B"/>
    <w:rsid w:val="0038219B"/>
    <w:rsid w:val="003849CA"/>
    <w:rsid w:val="0038640A"/>
    <w:rsid w:val="003A44ED"/>
    <w:rsid w:val="003A5E38"/>
    <w:rsid w:val="003B1415"/>
    <w:rsid w:val="003B180A"/>
    <w:rsid w:val="003B18D8"/>
    <w:rsid w:val="003B23B9"/>
    <w:rsid w:val="003B3817"/>
    <w:rsid w:val="003C2671"/>
    <w:rsid w:val="003C3B62"/>
    <w:rsid w:val="003C65D3"/>
    <w:rsid w:val="003D0246"/>
    <w:rsid w:val="003D1B93"/>
    <w:rsid w:val="003D49C8"/>
    <w:rsid w:val="003E02D6"/>
    <w:rsid w:val="003E35DF"/>
    <w:rsid w:val="003E68E9"/>
    <w:rsid w:val="003E7C7C"/>
    <w:rsid w:val="003F3DBF"/>
    <w:rsid w:val="003F5C40"/>
    <w:rsid w:val="003F5C63"/>
    <w:rsid w:val="003F5ED1"/>
    <w:rsid w:val="004011B5"/>
    <w:rsid w:val="00402FA2"/>
    <w:rsid w:val="00405329"/>
    <w:rsid w:val="00405712"/>
    <w:rsid w:val="004134EC"/>
    <w:rsid w:val="00416119"/>
    <w:rsid w:val="00417DDB"/>
    <w:rsid w:val="004243A4"/>
    <w:rsid w:val="00425BC7"/>
    <w:rsid w:val="00430A9D"/>
    <w:rsid w:val="004323F0"/>
    <w:rsid w:val="00433384"/>
    <w:rsid w:val="004418DE"/>
    <w:rsid w:val="00444681"/>
    <w:rsid w:val="004458D4"/>
    <w:rsid w:val="0044697B"/>
    <w:rsid w:val="004469D3"/>
    <w:rsid w:val="0045216E"/>
    <w:rsid w:val="00453B13"/>
    <w:rsid w:val="0045456E"/>
    <w:rsid w:val="00454A2A"/>
    <w:rsid w:val="00455C6E"/>
    <w:rsid w:val="00456065"/>
    <w:rsid w:val="00456BA3"/>
    <w:rsid w:val="004572A1"/>
    <w:rsid w:val="00457747"/>
    <w:rsid w:val="00464FC1"/>
    <w:rsid w:val="0046520F"/>
    <w:rsid w:val="004670F2"/>
    <w:rsid w:val="00467F35"/>
    <w:rsid w:val="00473782"/>
    <w:rsid w:val="004744F5"/>
    <w:rsid w:val="00476B68"/>
    <w:rsid w:val="00480BE1"/>
    <w:rsid w:val="00486853"/>
    <w:rsid w:val="0048723C"/>
    <w:rsid w:val="004957F8"/>
    <w:rsid w:val="00495E28"/>
    <w:rsid w:val="004A1A1A"/>
    <w:rsid w:val="004A3625"/>
    <w:rsid w:val="004A709F"/>
    <w:rsid w:val="004A7DB0"/>
    <w:rsid w:val="004B19B9"/>
    <w:rsid w:val="004B6B5F"/>
    <w:rsid w:val="004C27A6"/>
    <w:rsid w:val="004C2FE6"/>
    <w:rsid w:val="004C4EB4"/>
    <w:rsid w:val="004D2C52"/>
    <w:rsid w:val="004D66CC"/>
    <w:rsid w:val="004D66D4"/>
    <w:rsid w:val="004E1E60"/>
    <w:rsid w:val="004E2D2B"/>
    <w:rsid w:val="004F2AA8"/>
    <w:rsid w:val="004F5373"/>
    <w:rsid w:val="004F6622"/>
    <w:rsid w:val="00505E96"/>
    <w:rsid w:val="0051069E"/>
    <w:rsid w:val="005115E2"/>
    <w:rsid w:val="00511C74"/>
    <w:rsid w:val="00512EF9"/>
    <w:rsid w:val="0051758B"/>
    <w:rsid w:val="00522A0A"/>
    <w:rsid w:val="00527A41"/>
    <w:rsid w:val="00541FDF"/>
    <w:rsid w:val="00543519"/>
    <w:rsid w:val="00543933"/>
    <w:rsid w:val="00544CB5"/>
    <w:rsid w:val="00554425"/>
    <w:rsid w:val="005562C5"/>
    <w:rsid w:val="00556C11"/>
    <w:rsid w:val="0056141B"/>
    <w:rsid w:val="005619BB"/>
    <w:rsid w:val="00561CE3"/>
    <w:rsid w:val="0057081C"/>
    <w:rsid w:val="00571165"/>
    <w:rsid w:val="005722B8"/>
    <w:rsid w:val="00586CDC"/>
    <w:rsid w:val="005901C8"/>
    <w:rsid w:val="00590358"/>
    <w:rsid w:val="00595538"/>
    <w:rsid w:val="005A0C78"/>
    <w:rsid w:val="005A437C"/>
    <w:rsid w:val="005A4710"/>
    <w:rsid w:val="005A577F"/>
    <w:rsid w:val="005A595C"/>
    <w:rsid w:val="005A7910"/>
    <w:rsid w:val="005B086F"/>
    <w:rsid w:val="005B358B"/>
    <w:rsid w:val="005B4793"/>
    <w:rsid w:val="005B491A"/>
    <w:rsid w:val="005B5167"/>
    <w:rsid w:val="005C53F0"/>
    <w:rsid w:val="005D0FDB"/>
    <w:rsid w:val="005D35D2"/>
    <w:rsid w:val="005D6784"/>
    <w:rsid w:val="005E0D80"/>
    <w:rsid w:val="005E2FE6"/>
    <w:rsid w:val="005E3FF1"/>
    <w:rsid w:val="005F055C"/>
    <w:rsid w:val="006011D4"/>
    <w:rsid w:val="006013A8"/>
    <w:rsid w:val="00601E8C"/>
    <w:rsid w:val="00604147"/>
    <w:rsid w:val="00612FC7"/>
    <w:rsid w:val="00614CB5"/>
    <w:rsid w:val="00616EB8"/>
    <w:rsid w:val="0062012A"/>
    <w:rsid w:val="0062249F"/>
    <w:rsid w:val="006230D7"/>
    <w:rsid w:val="006260DF"/>
    <w:rsid w:val="00627560"/>
    <w:rsid w:val="0063502F"/>
    <w:rsid w:val="00635A16"/>
    <w:rsid w:val="0064085B"/>
    <w:rsid w:val="00641BAC"/>
    <w:rsid w:val="0064426F"/>
    <w:rsid w:val="00644651"/>
    <w:rsid w:val="006450B6"/>
    <w:rsid w:val="00651459"/>
    <w:rsid w:val="0065282D"/>
    <w:rsid w:val="006551BA"/>
    <w:rsid w:val="00656948"/>
    <w:rsid w:val="006612A2"/>
    <w:rsid w:val="00661C05"/>
    <w:rsid w:val="00664A1A"/>
    <w:rsid w:val="00665BED"/>
    <w:rsid w:val="00670D89"/>
    <w:rsid w:val="00670F3F"/>
    <w:rsid w:val="00671AA8"/>
    <w:rsid w:val="00672942"/>
    <w:rsid w:val="0067672E"/>
    <w:rsid w:val="00681F5E"/>
    <w:rsid w:val="0068365B"/>
    <w:rsid w:val="0068520E"/>
    <w:rsid w:val="00685623"/>
    <w:rsid w:val="00687343"/>
    <w:rsid w:val="00692A2E"/>
    <w:rsid w:val="006952F8"/>
    <w:rsid w:val="006971B7"/>
    <w:rsid w:val="00697A02"/>
    <w:rsid w:val="00697A6D"/>
    <w:rsid w:val="006A0129"/>
    <w:rsid w:val="006A30D3"/>
    <w:rsid w:val="006A3671"/>
    <w:rsid w:val="006A7539"/>
    <w:rsid w:val="006B2D60"/>
    <w:rsid w:val="006B6B5A"/>
    <w:rsid w:val="006B7E50"/>
    <w:rsid w:val="006C2DD2"/>
    <w:rsid w:val="006D379F"/>
    <w:rsid w:val="006D3DB9"/>
    <w:rsid w:val="006D4621"/>
    <w:rsid w:val="006E11A6"/>
    <w:rsid w:val="006E1412"/>
    <w:rsid w:val="006E15B2"/>
    <w:rsid w:val="006E2292"/>
    <w:rsid w:val="006E3E68"/>
    <w:rsid w:val="006E3F49"/>
    <w:rsid w:val="006E60F4"/>
    <w:rsid w:val="006F4267"/>
    <w:rsid w:val="006F4F51"/>
    <w:rsid w:val="006F4F6B"/>
    <w:rsid w:val="006F7A5B"/>
    <w:rsid w:val="0070120F"/>
    <w:rsid w:val="007016E8"/>
    <w:rsid w:val="00703FD0"/>
    <w:rsid w:val="00717453"/>
    <w:rsid w:val="00720C05"/>
    <w:rsid w:val="00720D73"/>
    <w:rsid w:val="0072419A"/>
    <w:rsid w:val="00731B78"/>
    <w:rsid w:val="0073398D"/>
    <w:rsid w:val="0073535B"/>
    <w:rsid w:val="0073708B"/>
    <w:rsid w:val="00737839"/>
    <w:rsid w:val="00737A10"/>
    <w:rsid w:val="00740F60"/>
    <w:rsid w:val="00745ECA"/>
    <w:rsid w:val="007532DE"/>
    <w:rsid w:val="00753308"/>
    <w:rsid w:val="0075447F"/>
    <w:rsid w:val="00756686"/>
    <w:rsid w:val="007577A4"/>
    <w:rsid w:val="007629BA"/>
    <w:rsid w:val="00763A84"/>
    <w:rsid w:val="00764719"/>
    <w:rsid w:val="00764A5C"/>
    <w:rsid w:val="00774EE9"/>
    <w:rsid w:val="007757E0"/>
    <w:rsid w:val="00777339"/>
    <w:rsid w:val="0078698F"/>
    <w:rsid w:val="00790ABC"/>
    <w:rsid w:val="00792C5C"/>
    <w:rsid w:val="00793C78"/>
    <w:rsid w:val="007978EC"/>
    <w:rsid w:val="00797D1D"/>
    <w:rsid w:val="007B0269"/>
    <w:rsid w:val="007B0D98"/>
    <w:rsid w:val="007B218F"/>
    <w:rsid w:val="007B42C8"/>
    <w:rsid w:val="007B48EA"/>
    <w:rsid w:val="007C075F"/>
    <w:rsid w:val="007C0EDB"/>
    <w:rsid w:val="007C3645"/>
    <w:rsid w:val="007C642A"/>
    <w:rsid w:val="007D1AA3"/>
    <w:rsid w:val="007E4F53"/>
    <w:rsid w:val="007F2C07"/>
    <w:rsid w:val="007F65BE"/>
    <w:rsid w:val="007F6723"/>
    <w:rsid w:val="007F694A"/>
    <w:rsid w:val="007F7A10"/>
    <w:rsid w:val="008041C8"/>
    <w:rsid w:val="00804FF0"/>
    <w:rsid w:val="0081097C"/>
    <w:rsid w:val="00812BF2"/>
    <w:rsid w:val="008158CA"/>
    <w:rsid w:val="00815E73"/>
    <w:rsid w:val="00817646"/>
    <w:rsid w:val="00820088"/>
    <w:rsid w:val="00820EFA"/>
    <w:rsid w:val="00825058"/>
    <w:rsid w:val="00834124"/>
    <w:rsid w:val="00835F03"/>
    <w:rsid w:val="00841B7E"/>
    <w:rsid w:val="00841D62"/>
    <w:rsid w:val="008474C7"/>
    <w:rsid w:val="008521F7"/>
    <w:rsid w:val="00855E52"/>
    <w:rsid w:val="008571D7"/>
    <w:rsid w:val="008573B4"/>
    <w:rsid w:val="00861291"/>
    <w:rsid w:val="0086143C"/>
    <w:rsid w:val="00863182"/>
    <w:rsid w:val="0086336F"/>
    <w:rsid w:val="008636C0"/>
    <w:rsid w:val="00867E52"/>
    <w:rsid w:val="00875BFC"/>
    <w:rsid w:val="008763A5"/>
    <w:rsid w:val="00883A15"/>
    <w:rsid w:val="0089243A"/>
    <w:rsid w:val="00892EC9"/>
    <w:rsid w:val="008958B9"/>
    <w:rsid w:val="00897E35"/>
    <w:rsid w:val="00897EF9"/>
    <w:rsid w:val="008A0650"/>
    <w:rsid w:val="008A1183"/>
    <w:rsid w:val="008A2643"/>
    <w:rsid w:val="008A30E9"/>
    <w:rsid w:val="008A479E"/>
    <w:rsid w:val="008A4A5E"/>
    <w:rsid w:val="008A5327"/>
    <w:rsid w:val="008A64C9"/>
    <w:rsid w:val="008A71EB"/>
    <w:rsid w:val="008A7257"/>
    <w:rsid w:val="008B0F82"/>
    <w:rsid w:val="008B371C"/>
    <w:rsid w:val="008B39F6"/>
    <w:rsid w:val="008B5361"/>
    <w:rsid w:val="008C1240"/>
    <w:rsid w:val="008C3E83"/>
    <w:rsid w:val="008C56AE"/>
    <w:rsid w:val="008C5A28"/>
    <w:rsid w:val="008D2C44"/>
    <w:rsid w:val="008D4C6B"/>
    <w:rsid w:val="008D7963"/>
    <w:rsid w:val="008E049D"/>
    <w:rsid w:val="008E76B8"/>
    <w:rsid w:val="008F0F15"/>
    <w:rsid w:val="008F1C8A"/>
    <w:rsid w:val="008F1E5A"/>
    <w:rsid w:val="008F33E6"/>
    <w:rsid w:val="008F63A7"/>
    <w:rsid w:val="008F6B32"/>
    <w:rsid w:val="00900E1B"/>
    <w:rsid w:val="00901B88"/>
    <w:rsid w:val="00902C7A"/>
    <w:rsid w:val="0090435D"/>
    <w:rsid w:val="00906F5D"/>
    <w:rsid w:val="00907AD9"/>
    <w:rsid w:val="00907DC5"/>
    <w:rsid w:val="0091026F"/>
    <w:rsid w:val="0091353B"/>
    <w:rsid w:val="00915AF3"/>
    <w:rsid w:val="00916C35"/>
    <w:rsid w:val="00922364"/>
    <w:rsid w:val="0092451D"/>
    <w:rsid w:val="0092799C"/>
    <w:rsid w:val="009311A1"/>
    <w:rsid w:val="00932657"/>
    <w:rsid w:val="00935DEC"/>
    <w:rsid w:val="009425B3"/>
    <w:rsid w:val="00942C81"/>
    <w:rsid w:val="00943BE3"/>
    <w:rsid w:val="00943CDE"/>
    <w:rsid w:val="00950CC0"/>
    <w:rsid w:val="00951162"/>
    <w:rsid w:val="00951EE8"/>
    <w:rsid w:val="00953436"/>
    <w:rsid w:val="00953C6A"/>
    <w:rsid w:val="00954351"/>
    <w:rsid w:val="00957982"/>
    <w:rsid w:val="00957CFA"/>
    <w:rsid w:val="00957F1F"/>
    <w:rsid w:val="00960B06"/>
    <w:rsid w:val="00960D12"/>
    <w:rsid w:val="00962C78"/>
    <w:rsid w:val="00965B77"/>
    <w:rsid w:val="00972F18"/>
    <w:rsid w:val="00973B76"/>
    <w:rsid w:val="009741F2"/>
    <w:rsid w:val="00975F2C"/>
    <w:rsid w:val="00976994"/>
    <w:rsid w:val="00976A29"/>
    <w:rsid w:val="009776B5"/>
    <w:rsid w:val="00985633"/>
    <w:rsid w:val="009912FA"/>
    <w:rsid w:val="009922C6"/>
    <w:rsid w:val="00993DB7"/>
    <w:rsid w:val="00994BAC"/>
    <w:rsid w:val="00995403"/>
    <w:rsid w:val="009A0818"/>
    <w:rsid w:val="009A11AC"/>
    <w:rsid w:val="009A1AEF"/>
    <w:rsid w:val="009A6D72"/>
    <w:rsid w:val="009B0994"/>
    <w:rsid w:val="009B34B2"/>
    <w:rsid w:val="009B4019"/>
    <w:rsid w:val="009B7008"/>
    <w:rsid w:val="009C2047"/>
    <w:rsid w:val="009C4F8B"/>
    <w:rsid w:val="009D2656"/>
    <w:rsid w:val="009D5AA5"/>
    <w:rsid w:val="009D6B9B"/>
    <w:rsid w:val="009D6BF9"/>
    <w:rsid w:val="009E3EDE"/>
    <w:rsid w:val="009E5890"/>
    <w:rsid w:val="009F0015"/>
    <w:rsid w:val="00A05457"/>
    <w:rsid w:val="00A074F7"/>
    <w:rsid w:val="00A123BF"/>
    <w:rsid w:val="00A12682"/>
    <w:rsid w:val="00A12A3B"/>
    <w:rsid w:val="00A15448"/>
    <w:rsid w:val="00A35E4A"/>
    <w:rsid w:val="00A4249F"/>
    <w:rsid w:val="00A4441F"/>
    <w:rsid w:val="00A646C8"/>
    <w:rsid w:val="00A66D95"/>
    <w:rsid w:val="00A7003B"/>
    <w:rsid w:val="00A70947"/>
    <w:rsid w:val="00A7104F"/>
    <w:rsid w:val="00A7292E"/>
    <w:rsid w:val="00A72EFF"/>
    <w:rsid w:val="00A807B8"/>
    <w:rsid w:val="00A82848"/>
    <w:rsid w:val="00A83BD4"/>
    <w:rsid w:val="00A84922"/>
    <w:rsid w:val="00A84C7D"/>
    <w:rsid w:val="00AA09C4"/>
    <w:rsid w:val="00AA5280"/>
    <w:rsid w:val="00AA5DA7"/>
    <w:rsid w:val="00AA6703"/>
    <w:rsid w:val="00AB0138"/>
    <w:rsid w:val="00AC4239"/>
    <w:rsid w:val="00AD17B8"/>
    <w:rsid w:val="00AD285B"/>
    <w:rsid w:val="00AE17FE"/>
    <w:rsid w:val="00AE1808"/>
    <w:rsid w:val="00AE49CA"/>
    <w:rsid w:val="00AE541F"/>
    <w:rsid w:val="00AE58DE"/>
    <w:rsid w:val="00AF0FD3"/>
    <w:rsid w:val="00AF1719"/>
    <w:rsid w:val="00AF486D"/>
    <w:rsid w:val="00AF6675"/>
    <w:rsid w:val="00B00A4A"/>
    <w:rsid w:val="00B00CC2"/>
    <w:rsid w:val="00B11C12"/>
    <w:rsid w:val="00B11DE3"/>
    <w:rsid w:val="00B130D7"/>
    <w:rsid w:val="00B16193"/>
    <w:rsid w:val="00B20A05"/>
    <w:rsid w:val="00B21903"/>
    <w:rsid w:val="00B26C27"/>
    <w:rsid w:val="00B310FA"/>
    <w:rsid w:val="00B35546"/>
    <w:rsid w:val="00B35F4C"/>
    <w:rsid w:val="00B37BEF"/>
    <w:rsid w:val="00B37CEF"/>
    <w:rsid w:val="00B437AA"/>
    <w:rsid w:val="00B43CFE"/>
    <w:rsid w:val="00B46107"/>
    <w:rsid w:val="00B47B55"/>
    <w:rsid w:val="00B521B1"/>
    <w:rsid w:val="00B53938"/>
    <w:rsid w:val="00B61736"/>
    <w:rsid w:val="00B703A2"/>
    <w:rsid w:val="00B70B3C"/>
    <w:rsid w:val="00B8310B"/>
    <w:rsid w:val="00B928B7"/>
    <w:rsid w:val="00B94269"/>
    <w:rsid w:val="00B94AB3"/>
    <w:rsid w:val="00B964D8"/>
    <w:rsid w:val="00BA2324"/>
    <w:rsid w:val="00BA5384"/>
    <w:rsid w:val="00BB098F"/>
    <w:rsid w:val="00BB1B10"/>
    <w:rsid w:val="00BB4CE0"/>
    <w:rsid w:val="00BB64A0"/>
    <w:rsid w:val="00BB72A9"/>
    <w:rsid w:val="00BB7E95"/>
    <w:rsid w:val="00BC0C55"/>
    <w:rsid w:val="00BC316C"/>
    <w:rsid w:val="00BC6C82"/>
    <w:rsid w:val="00BD1727"/>
    <w:rsid w:val="00BD6FD3"/>
    <w:rsid w:val="00BD77D7"/>
    <w:rsid w:val="00BE6EED"/>
    <w:rsid w:val="00BF2C6D"/>
    <w:rsid w:val="00BF6561"/>
    <w:rsid w:val="00C00F99"/>
    <w:rsid w:val="00C07FEC"/>
    <w:rsid w:val="00C13E41"/>
    <w:rsid w:val="00C203B2"/>
    <w:rsid w:val="00C22A06"/>
    <w:rsid w:val="00C22E8D"/>
    <w:rsid w:val="00C22F7F"/>
    <w:rsid w:val="00C25A76"/>
    <w:rsid w:val="00C30C00"/>
    <w:rsid w:val="00C30CE6"/>
    <w:rsid w:val="00C30DC6"/>
    <w:rsid w:val="00C3197F"/>
    <w:rsid w:val="00C32729"/>
    <w:rsid w:val="00C351C4"/>
    <w:rsid w:val="00C37826"/>
    <w:rsid w:val="00C41874"/>
    <w:rsid w:val="00C43F03"/>
    <w:rsid w:val="00C45251"/>
    <w:rsid w:val="00C47D94"/>
    <w:rsid w:val="00C47DF6"/>
    <w:rsid w:val="00C50949"/>
    <w:rsid w:val="00C510DC"/>
    <w:rsid w:val="00C52DDA"/>
    <w:rsid w:val="00C54694"/>
    <w:rsid w:val="00C54C98"/>
    <w:rsid w:val="00C57EC0"/>
    <w:rsid w:val="00C6200F"/>
    <w:rsid w:val="00C6392D"/>
    <w:rsid w:val="00C64956"/>
    <w:rsid w:val="00C85174"/>
    <w:rsid w:val="00C859F2"/>
    <w:rsid w:val="00C90C2C"/>
    <w:rsid w:val="00C9104F"/>
    <w:rsid w:val="00C921A7"/>
    <w:rsid w:val="00C96983"/>
    <w:rsid w:val="00C96AF1"/>
    <w:rsid w:val="00C97249"/>
    <w:rsid w:val="00CA048A"/>
    <w:rsid w:val="00CA192B"/>
    <w:rsid w:val="00CA6292"/>
    <w:rsid w:val="00CB16F4"/>
    <w:rsid w:val="00CB2691"/>
    <w:rsid w:val="00CC1269"/>
    <w:rsid w:val="00CC1E0D"/>
    <w:rsid w:val="00CC5D37"/>
    <w:rsid w:val="00CD1326"/>
    <w:rsid w:val="00CD3CC0"/>
    <w:rsid w:val="00CD5871"/>
    <w:rsid w:val="00CE30D0"/>
    <w:rsid w:val="00CE41F5"/>
    <w:rsid w:val="00CE47C3"/>
    <w:rsid w:val="00D05D21"/>
    <w:rsid w:val="00D14CC0"/>
    <w:rsid w:val="00D20ADD"/>
    <w:rsid w:val="00D21528"/>
    <w:rsid w:val="00D32138"/>
    <w:rsid w:val="00D34C8A"/>
    <w:rsid w:val="00D350FD"/>
    <w:rsid w:val="00D438A7"/>
    <w:rsid w:val="00D46216"/>
    <w:rsid w:val="00D47A92"/>
    <w:rsid w:val="00D50522"/>
    <w:rsid w:val="00D52863"/>
    <w:rsid w:val="00D629CE"/>
    <w:rsid w:val="00D70181"/>
    <w:rsid w:val="00D716FE"/>
    <w:rsid w:val="00D7325A"/>
    <w:rsid w:val="00D734B0"/>
    <w:rsid w:val="00D84B22"/>
    <w:rsid w:val="00D853DD"/>
    <w:rsid w:val="00D912DD"/>
    <w:rsid w:val="00D91332"/>
    <w:rsid w:val="00D93E7F"/>
    <w:rsid w:val="00DA083F"/>
    <w:rsid w:val="00DA1D7F"/>
    <w:rsid w:val="00DA5F55"/>
    <w:rsid w:val="00DB17B0"/>
    <w:rsid w:val="00DB18E4"/>
    <w:rsid w:val="00DB1B43"/>
    <w:rsid w:val="00DB1D57"/>
    <w:rsid w:val="00DB7D6A"/>
    <w:rsid w:val="00DC01EA"/>
    <w:rsid w:val="00DC3B6D"/>
    <w:rsid w:val="00DC7D1A"/>
    <w:rsid w:val="00DD5D85"/>
    <w:rsid w:val="00DD71C5"/>
    <w:rsid w:val="00DE0A74"/>
    <w:rsid w:val="00DE641D"/>
    <w:rsid w:val="00DE72AD"/>
    <w:rsid w:val="00DF0B7E"/>
    <w:rsid w:val="00DF1B43"/>
    <w:rsid w:val="00DF43AB"/>
    <w:rsid w:val="00E00667"/>
    <w:rsid w:val="00E01063"/>
    <w:rsid w:val="00E03674"/>
    <w:rsid w:val="00E0426B"/>
    <w:rsid w:val="00E05861"/>
    <w:rsid w:val="00E16119"/>
    <w:rsid w:val="00E21A5B"/>
    <w:rsid w:val="00E23D70"/>
    <w:rsid w:val="00E26D37"/>
    <w:rsid w:val="00E3079E"/>
    <w:rsid w:val="00E37BA1"/>
    <w:rsid w:val="00E42F80"/>
    <w:rsid w:val="00E4371B"/>
    <w:rsid w:val="00E447B3"/>
    <w:rsid w:val="00E456E4"/>
    <w:rsid w:val="00E45A30"/>
    <w:rsid w:val="00E46030"/>
    <w:rsid w:val="00E4681F"/>
    <w:rsid w:val="00E6056E"/>
    <w:rsid w:val="00E620A5"/>
    <w:rsid w:val="00E6298F"/>
    <w:rsid w:val="00E63AD8"/>
    <w:rsid w:val="00E67EE1"/>
    <w:rsid w:val="00E71FEA"/>
    <w:rsid w:val="00E855E8"/>
    <w:rsid w:val="00E908BA"/>
    <w:rsid w:val="00E935C6"/>
    <w:rsid w:val="00E94915"/>
    <w:rsid w:val="00E955DF"/>
    <w:rsid w:val="00EA0D24"/>
    <w:rsid w:val="00EA14D9"/>
    <w:rsid w:val="00EA2928"/>
    <w:rsid w:val="00EA4993"/>
    <w:rsid w:val="00EA4EF2"/>
    <w:rsid w:val="00EA5E58"/>
    <w:rsid w:val="00EB2635"/>
    <w:rsid w:val="00EB33BD"/>
    <w:rsid w:val="00EB6A11"/>
    <w:rsid w:val="00EC0D9F"/>
    <w:rsid w:val="00EC3167"/>
    <w:rsid w:val="00EC4EEC"/>
    <w:rsid w:val="00EC7B03"/>
    <w:rsid w:val="00ED02BF"/>
    <w:rsid w:val="00ED078B"/>
    <w:rsid w:val="00ED1117"/>
    <w:rsid w:val="00ED4E12"/>
    <w:rsid w:val="00ED6E55"/>
    <w:rsid w:val="00ED79F1"/>
    <w:rsid w:val="00EE132C"/>
    <w:rsid w:val="00EE1776"/>
    <w:rsid w:val="00EE2A64"/>
    <w:rsid w:val="00EE513B"/>
    <w:rsid w:val="00EE6413"/>
    <w:rsid w:val="00EE6703"/>
    <w:rsid w:val="00EF0409"/>
    <w:rsid w:val="00EF06A6"/>
    <w:rsid w:val="00EF17BC"/>
    <w:rsid w:val="00F01A68"/>
    <w:rsid w:val="00F01D8B"/>
    <w:rsid w:val="00F05174"/>
    <w:rsid w:val="00F06166"/>
    <w:rsid w:val="00F107E5"/>
    <w:rsid w:val="00F14729"/>
    <w:rsid w:val="00F152FD"/>
    <w:rsid w:val="00F17CD9"/>
    <w:rsid w:val="00F235AB"/>
    <w:rsid w:val="00F238BA"/>
    <w:rsid w:val="00F275E1"/>
    <w:rsid w:val="00F309C8"/>
    <w:rsid w:val="00F32729"/>
    <w:rsid w:val="00F33680"/>
    <w:rsid w:val="00F34731"/>
    <w:rsid w:val="00F369BE"/>
    <w:rsid w:val="00F44781"/>
    <w:rsid w:val="00F4746D"/>
    <w:rsid w:val="00F47E9D"/>
    <w:rsid w:val="00F544DA"/>
    <w:rsid w:val="00F55EC4"/>
    <w:rsid w:val="00F60992"/>
    <w:rsid w:val="00F63A65"/>
    <w:rsid w:val="00F6655A"/>
    <w:rsid w:val="00F73BB9"/>
    <w:rsid w:val="00F82A67"/>
    <w:rsid w:val="00F8773F"/>
    <w:rsid w:val="00F91429"/>
    <w:rsid w:val="00F94773"/>
    <w:rsid w:val="00FA0089"/>
    <w:rsid w:val="00FA231E"/>
    <w:rsid w:val="00FA2725"/>
    <w:rsid w:val="00FA3578"/>
    <w:rsid w:val="00FA3FCA"/>
    <w:rsid w:val="00FA6FCE"/>
    <w:rsid w:val="00FA7191"/>
    <w:rsid w:val="00FA7232"/>
    <w:rsid w:val="00FB73B7"/>
    <w:rsid w:val="00FC07E1"/>
    <w:rsid w:val="00FC5CB7"/>
    <w:rsid w:val="00FC5DC4"/>
    <w:rsid w:val="00FC6951"/>
    <w:rsid w:val="00FD5434"/>
    <w:rsid w:val="00FD63F0"/>
    <w:rsid w:val="00FE77BD"/>
    <w:rsid w:val="00FF1727"/>
    <w:rsid w:val="00FF38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9B0D63A"/>
  <w15:docId w15:val="{F93E54FA-171D-4463-9FB5-991BBECC6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sz w:val="24"/>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03A0"/>
    <w:pPr>
      <w:spacing w:after="240"/>
    </w:pPr>
  </w:style>
  <w:style w:type="paragraph" w:styleId="Heading1">
    <w:name w:val="heading 1"/>
    <w:basedOn w:val="Normal"/>
    <w:next w:val="Normal"/>
    <w:link w:val="Heading1Char"/>
    <w:uiPriority w:val="9"/>
    <w:qFormat/>
    <w:rsid w:val="00007BD0"/>
    <w:pPr>
      <w:numPr>
        <w:numId w:val="2"/>
      </w:numPr>
      <w:spacing w:before="120" w:after="360"/>
      <w:outlineLvl w:val="0"/>
    </w:pPr>
    <w:rPr>
      <w:rFonts w:ascii="Impact" w:hAnsi="Impact" w:cs="Impact"/>
      <w:color w:val="244B9A"/>
      <w:sz w:val="40"/>
      <w:szCs w:val="32"/>
    </w:rPr>
  </w:style>
  <w:style w:type="paragraph" w:styleId="Heading2">
    <w:name w:val="heading 2"/>
    <w:basedOn w:val="Heading1"/>
    <w:next w:val="Normal"/>
    <w:link w:val="Heading2Char"/>
    <w:autoRedefine/>
    <w:qFormat/>
    <w:rsid w:val="00E42F80"/>
    <w:pPr>
      <w:numPr>
        <w:ilvl w:val="1"/>
      </w:numPr>
      <w:spacing w:before="0" w:after="240"/>
      <w:ind w:left="576"/>
      <w:outlineLvl w:val="1"/>
    </w:pPr>
    <w:rPr>
      <w:sz w:val="36"/>
    </w:rPr>
  </w:style>
  <w:style w:type="paragraph" w:styleId="Heading3">
    <w:name w:val="heading 3"/>
    <w:basedOn w:val="Heading2"/>
    <w:next w:val="Normal"/>
    <w:link w:val="Heading3Char"/>
    <w:uiPriority w:val="9"/>
    <w:unhideWhenUsed/>
    <w:qFormat/>
    <w:rsid w:val="00E447B3"/>
    <w:pPr>
      <w:numPr>
        <w:ilvl w:val="2"/>
      </w:numPr>
      <w:outlineLvl w:val="2"/>
    </w:pPr>
    <w:rPr>
      <w:sz w:val="32"/>
    </w:rPr>
  </w:style>
  <w:style w:type="paragraph" w:styleId="Heading4">
    <w:name w:val="heading 4"/>
    <w:basedOn w:val="Normal"/>
    <w:next w:val="Normal"/>
    <w:link w:val="Heading4Char"/>
    <w:uiPriority w:val="9"/>
    <w:semiHidden/>
    <w:unhideWhenUsed/>
    <w:qFormat/>
    <w:rsid w:val="00AD17B8"/>
    <w:pPr>
      <w:keepNext/>
      <w:keepLines/>
      <w:numPr>
        <w:ilvl w:val="3"/>
        <w:numId w:val="2"/>
      </w:numPr>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AD17B8"/>
    <w:pPr>
      <w:keepNext/>
      <w:keepLines/>
      <w:numPr>
        <w:ilvl w:val="4"/>
        <w:numId w:val="2"/>
      </w:numPr>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AD17B8"/>
    <w:pPr>
      <w:keepNext/>
      <w:keepLines/>
      <w:numPr>
        <w:ilvl w:val="5"/>
        <w:numId w:val="2"/>
      </w:numPr>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AD17B8"/>
    <w:pPr>
      <w:keepNext/>
      <w:keepLines/>
      <w:numPr>
        <w:ilvl w:val="6"/>
        <w:numId w:val="2"/>
      </w:numPr>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AD17B8"/>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AD17B8"/>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22A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E42F80"/>
    <w:rPr>
      <w:rFonts w:ascii="Impact" w:hAnsi="Impact" w:cs="Impact"/>
      <w:color w:val="244B9A"/>
      <w:sz w:val="36"/>
      <w:szCs w:val="32"/>
    </w:rPr>
  </w:style>
  <w:style w:type="paragraph" w:styleId="ListParagraph">
    <w:name w:val="List Paragraph"/>
    <w:basedOn w:val="Normal"/>
    <w:uiPriority w:val="34"/>
    <w:qFormat/>
    <w:rsid w:val="00252F11"/>
    <w:pPr>
      <w:ind w:left="720"/>
      <w:contextualSpacing/>
    </w:pPr>
  </w:style>
  <w:style w:type="paragraph" w:styleId="Header">
    <w:name w:val="header"/>
    <w:basedOn w:val="Normal"/>
    <w:link w:val="HeaderChar"/>
    <w:uiPriority w:val="99"/>
    <w:unhideWhenUsed/>
    <w:rsid w:val="00763A84"/>
    <w:pPr>
      <w:tabs>
        <w:tab w:val="center" w:pos="4513"/>
        <w:tab w:val="right" w:pos="9026"/>
      </w:tabs>
    </w:pPr>
  </w:style>
  <w:style w:type="character" w:customStyle="1" w:styleId="HeaderChar">
    <w:name w:val="Header Char"/>
    <w:basedOn w:val="DefaultParagraphFont"/>
    <w:link w:val="Header"/>
    <w:uiPriority w:val="99"/>
    <w:rsid w:val="00763A84"/>
  </w:style>
  <w:style w:type="paragraph" w:styleId="Footer">
    <w:name w:val="footer"/>
    <w:basedOn w:val="Normal"/>
    <w:link w:val="FooterChar"/>
    <w:uiPriority w:val="99"/>
    <w:unhideWhenUsed/>
    <w:rsid w:val="00763A84"/>
    <w:pPr>
      <w:tabs>
        <w:tab w:val="center" w:pos="4513"/>
        <w:tab w:val="right" w:pos="9026"/>
      </w:tabs>
    </w:pPr>
  </w:style>
  <w:style w:type="character" w:customStyle="1" w:styleId="FooterChar">
    <w:name w:val="Footer Char"/>
    <w:basedOn w:val="DefaultParagraphFont"/>
    <w:link w:val="Footer"/>
    <w:uiPriority w:val="99"/>
    <w:rsid w:val="00763A84"/>
  </w:style>
  <w:style w:type="paragraph" w:styleId="FootnoteText">
    <w:name w:val="footnote text"/>
    <w:basedOn w:val="Normal"/>
    <w:link w:val="FootnoteTextChar"/>
    <w:autoRedefine/>
    <w:uiPriority w:val="99"/>
    <w:unhideWhenUsed/>
    <w:qFormat/>
    <w:rsid w:val="00AF0FD3"/>
    <w:pPr>
      <w:spacing w:after="0"/>
    </w:pPr>
    <w:rPr>
      <w:rFonts w:eastAsia="Calibri" w:cs="Times New Roman"/>
      <w:sz w:val="22"/>
      <w:szCs w:val="20"/>
    </w:rPr>
  </w:style>
  <w:style w:type="character" w:customStyle="1" w:styleId="FootnoteTextChar">
    <w:name w:val="Footnote Text Char"/>
    <w:basedOn w:val="DefaultParagraphFont"/>
    <w:link w:val="FootnoteText"/>
    <w:uiPriority w:val="99"/>
    <w:rsid w:val="00AF0FD3"/>
    <w:rPr>
      <w:rFonts w:eastAsia="Calibri" w:cs="Times New Roman"/>
      <w:sz w:val="22"/>
      <w:szCs w:val="20"/>
    </w:rPr>
  </w:style>
  <w:style w:type="character" w:styleId="FootnoteReference">
    <w:name w:val="footnote reference"/>
    <w:basedOn w:val="DefaultParagraphFont"/>
    <w:uiPriority w:val="99"/>
    <w:semiHidden/>
    <w:unhideWhenUsed/>
    <w:rsid w:val="002168F1"/>
    <w:rPr>
      <w:vertAlign w:val="superscript"/>
    </w:rPr>
  </w:style>
  <w:style w:type="paragraph" w:styleId="BalloonText">
    <w:name w:val="Balloon Text"/>
    <w:basedOn w:val="Normal"/>
    <w:link w:val="BalloonTextChar"/>
    <w:uiPriority w:val="99"/>
    <w:semiHidden/>
    <w:unhideWhenUsed/>
    <w:rsid w:val="00B20A05"/>
    <w:rPr>
      <w:rFonts w:ascii="Tahoma" w:hAnsi="Tahoma" w:cs="Tahoma"/>
      <w:sz w:val="16"/>
      <w:szCs w:val="16"/>
    </w:rPr>
  </w:style>
  <w:style w:type="character" w:customStyle="1" w:styleId="BalloonTextChar">
    <w:name w:val="Balloon Text Char"/>
    <w:basedOn w:val="DefaultParagraphFont"/>
    <w:link w:val="BalloonText"/>
    <w:uiPriority w:val="99"/>
    <w:semiHidden/>
    <w:rsid w:val="00B20A05"/>
    <w:rPr>
      <w:rFonts w:ascii="Tahoma" w:hAnsi="Tahoma" w:cs="Tahoma"/>
      <w:sz w:val="16"/>
      <w:szCs w:val="16"/>
    </w:rPr>
  </w:style>
  <w:style w:type="paragraph" w:customStyle="1" w:styleId="leglisttextstandard1">
    <w:name w:val="leglisttextstandard1"/>
    <w:basedOn w:val="Normal"/>
    <w:rsid w:val="00861291"/>
    <w:pPr>
      <w:shd w:val="clear" w:color="auto" w:fill="FFFFFF"/>
      <w:spacing w:after="120" w:line="360" w:lineRule="atLeast"/>
      <w:jc w:val="both"/>
    </w:pPr>
    <w:rPr>
      <w:rFonts w:ascii="Times New Roman" w:eastAsia="Times New Roman" w:hAnsi="Times New Roman" w:cs="Times New Roman"/>
      <w:color w:val="000000"/>
      <w:sz w:val="19"/>
      <w:szCs w:val="19"/>
      <w:lang w:eastAsia="en-GB"/>
    </w:rPr>
  </w:style>
  <w:style w:type="character" w:customStyle="1" w:styleId="legterm">
    <w:name w:val="legterm"/>
    <w:basedOn w:val="DefaultParagraphFont"/>
    <w:rsid w:val="00861291"/>
  </w:style>
  <w:style w:type="character" w:customStyle="1" w:styleId="legchangedelimiter2">
    <w:name w:val="legchangedelimiter2"/>
    <w:basedOn w:val="DefaultParagraphFont"/>
    <w:rsid w:val="00861291"/>
    <w:rPr>
      <w:b/>
      <w:bCs/>
      <w:i w:val="0"/>
      <w:iCs w:val="0"/>
      <w:color w:val="000000"/>
      <w:sz w:val="34"/>
      <w:szCs w:val="34"/>
    </w:rPr>
  </w:style>
  <w:style w:type="character" w:customStyle="1" w:styleId="legsubstitution5">
    <w:name w:val="legsubstitution5"/>
    <w:basedOn w:val="DefaultParagraphFont"/>
    <w:rsid w:val="00861291"/>
  </w:style>
  <w:style w:type="character" w:styleId="Hyperlink">
    <w:name w:val="Hyperlink"/>
    <w:basedOn w:val="DefaultParagraphFont"/>
    <w:uiPriority w:val="99"/>
    <w:unhideWhenUsed/>
    <w:rsid w:val="00CD5871"/>
    <w:rPr>
      <w:color w:val="0000FF" w:themeColor="hyperlink"/>
      <w:u w:val="single"/>
    </w:rPr>
  </w:style>
  <w:style w:type="character" w:customStyle="1" w:styleId="Heading1Char">
    <w:name w:val="Heading 1 Char"/>
    <w:basedOn w:val="DefaultParagraphFont"/>
    <w:link w:val="Heading1"/>
    <w:uiPriority w:val="9"/>
    <w:rsid w:val="00007BD0"/>
    <w:rPr>
      <w:rFonts w:ascii="Impact" w:hAnsi="Impact" w:cs="Impact"/>
      <w:color w:val="244B9A"/>
      <w:sz w:val="40"/>
      <w:szCs w:val="32"/>
    </w:rPr>
  </w:style>
  <w:style w:type="character" w:styleId="FollowedHyperlink">
    <w:name w:val="FollowedHyperlink"/>
    <w:basedOn w:val="DefaultParagraphFont"/>
    <w:uiPriority w:val="99"/>
    <w:semiHidden/>
    <w:unhideWhenUsed/>
    <w:rsid w:val="0062012A"/>
    <w:rPr>
      <w:color w:val="800080" w:themeColor="followedHyperlink"/>
      <w:u w:val="single"/>
    </w:rPr>
  </w:style>
  <w:style w:type="paragraph" w:styleId="TOCHeading">
    <w:name w:val="TOC Heading"/>
    <w:basedOn w:val="Heading1"/>
    <w:next w:val="Normal"/>
    <w:uiPriority w:val="39"/>
    <w:unhideWhenUsed/>
    <w:qFormat/>
    <w:rsid w:val="008A7257"/>
    <w:pPr>
      <w:keepNext/>
      <w:keepLines/>
      <w:spacing w:before="240" w:after="0"/>
      <w:outlineLvl w:val="9"/>
    </w:pPr>
    <w:rPr>
      <w:rFonts w:asciiTheme="majorHAnsi" w:eastAsiaTheme="majorEastAsia" w:hAnsiTheme="majorHAnsi" w:cstheme="majorBidi"/>
      <w:color w:val="365F91" w:themeColor="accent1" w:themeShade="BF"/>
      <w:sz w:val="32"/>
      <w:lang w:val="en-US"/>
    </w:rPr>
  </w:style>
  <w:style w:type="paragraph" w:styleId="TOC1">
    <w:name w:val="toc 1"/>
    <w:basedOn w:val="Normal"/>
    <w:next w:val="Normal"/>
    <w:autoRedefine/>
    <w:uiPriority w:val="39"/>
    <w:unhideWhenUsed/>
    <w:rsid w:val="005901C8"/>
    <w:pPr>
      <w:tabs>
        <w:tab w:val="left" w:pos="440"/>
        <w:tab w:val="right" w:leader="dot" w:pos="9880"/>
      </w:tabs>
      <w:spacing w:after="100"/>
    </w:pPr>
    <w:rPr>
      <w:b/>
      <w:sz w:val="22"/>
    </w:rPr>
  </w:style>
  <w:style w:type="paragraph" w:styleId="TOC2">
    <w:name w:val="toc 2"/>
    <w:basedOn w:val="Normal"/>
    <w:next w:val="Normal"/>
    <w:autoRedefine/>
    <w:uiPriority w:val="39"/>
    <w:unhideWhenUsed/>
    <w:rsid w:val="00464FC1"/>
    <w:pPr>
      <w:tabs>
        <w:tab w:val="left" w:pos="880"/>
        <w:tab w:val="right" w:leader="dot" w:pos="9880"/>
      </w:tabs>
      <w:spacing w:after="100"/>
      <w:ind w:left="240"/>
    </w:pPr>
    <w:rPr>
      <w:sz w:val="22"/>
    </w:rPr>
  </w:style>
  <w:style w:type="paragraph" w:customStyle="1" w:styleId="2ColumnBody">
    <w:name w:val="2 Column Body"/>
    <w:basedOn w:val="Normal"/>
    <w:rsid w:val="00950CC0"/>
    <w:pPr>
      <w:spacing w:after="120" w:line="264" w:lineRule="auto"/>
    </w:pPr>
    <w:rPr>
      <w:rFonts w:eastAsia="MS Mincho" w:cs="Times New Roman"/>
      <w:sz w:val="20"/>
      <w:szCs w:val="20"/>
    </w:rPr>
  </w:style>
  <w:style w:type="paragraph" w:styleId="NormalWeb">
    <w:name w:val="Normal (Web)"/>
    <w:basedOn w:val="Normal"/>
    <w:uiPriority w:val="99"/>
    <w:unhideWhenUsed/>
    <w:rsid w:val="006B6B5A"/>
    <w:rPr>
      <w:rFonts w:ascii="Times New Roman" w:hAnsi="Times New Roman" w:cs="Times New Roman"/>
      <w:szCs w:val="24"/>
    </w:rPr>
  </w:style>
  <w:style w:type="character" w:styleId="UnresolvedMention">
    <w:name w:val="Unresolved Mention"/>
    <w:basedOn w:val="DefaultParagraphFont"/>
    <w:uiPriority w:val="99"/>
    <w:semiHidden/>
    <w:unhideWhenUsed/>
    <w:rsid w:val="005D0FDB"/>
    <w:rPr>
      <w:color w:val="605E5C"/>
      <w:shd w:val="clear" w:color="auto" w:fill="E1DFDD"/>
    </w:rPr>
  </w:style>
  <w:style w:type="paragraph" w:customStyle="1" w:styleId="Default">
    <w:name w:val="Default"/>
    <w:rsid w:val="00B521B1"/>
    <w:pPr>
      <w:autoSpaceDE w:val="0"/>
      <w:autoSpaceDN w:val="0"/>
      <w:adjustRightInd w:val="0"/>
    </w:pPr>
    <w:rPr>
      <w:rFonts w:cs="Arial"/>
      <w:color w:val="000000"/>
      <w:szCs w:val="24"/>
    </w:rPr>
  </w:style>
  <w:style w:type="character" w:styleId="CommentReference">
    <w:name w:val="annotation reference"/>
    <w:basedOn w:val="DefaultParagraphFont"/>
    <w:uiPriority w:val="99"/>
    <w:semiHidden/>
    <w:unhideWhenUsed/>
    <w:rsid w:val="000C738D"/>
    <w:rPr>
      <w:sz w:val="16"/>
      <w:szCs w:val="16"/>
    </w:rPr>
  </w:style>
  <w:style w:type="paragraph" w:styleId="CommentText">
    <w:name w:val="annotation text"/>
    <w:basedOn w:val="Normal"/>
    <w:link w:val="CommentTextChar"/>
    <w:uiPriority w:val="99"/>
    <w:semiHidden/>
    <w:unhideWhenUsed/>
    <w:rsid w:val="000C738D"/>
    <w:rPr>
      <w:sz w:val="20"/>
      <w:szCs w:val="20"/>
    </w:rPr>
  </w:style>
  <w:style w:type="character" w:customStyle="1" w:styleId="CommentTextChar">
    <w:name w:val="Comment Text Char"/>
    <w:basedOn w:val="DefaultParagraphFont"/>
    <w:link w:val="CommentText"/>
    <w:uiPriority w:val="99"/>
    <w:semiHidden/>
    <w:rsid w:val="000C738D"/>
    <w:rPr>
      <w:sz w:val="20"/>
      <w:szCs w:val="20"/>
    </w:rPr>
  </w:style>
  <w:style w:type="paragraph" w:styleId="CommentSubject">
    <w:name w:val="annotation subject"/>
    <w:basedOn w:val="CommentText"/>
    <w:next w:val="CommentText"/>
    <w:link w:val="CommentSubjectChar"/>
    <w:uiPriority w:val="99"/>
    <w:semiHidden/>
    <w:unhideWhenUsed/>
    <w:rsid w:val="000C738D"/>
    <w:rPr>
      <w:b/>
      <w:bCs/>
    </w:rPr>
  </w:style>
  <w:style w:type="character" w:customStyle="1" w:styleId="CommentSubjectChar">
    <w:name w:val="Comment Subject Char"/>
    <w:basedOn w:val="CommentTextChar"/>
    <w:link w:val="CommentSubject"/>
    <w:uiPriority w:val="99"/>
    <w:semiHidden/>
    <w:rsid w:val="000C738D"/>
    <w:rPr>
      <w:b/>
      <w:bCs/>
      <w:sz w:val="20"/>
      <w:szCs w:val="20"/>
    </w:rPr>
  </w:style>
  <w:style w:type="paragraph" w:styleId="Revision">
    <w:name w:val="Revision"/>
    <w:hidden/>
    <w:uiPriority w:val="99"/>
    <w:semiHidden/>
    <w:rsid w:val="000C738D"/>
  </w:style>
  <w:style w:type="character" w:customStyle="1" w:styleId="Heading3Char">
    <w:name w:val="Heading 3 Char"/>
    <w:basedOn w:val="DefaultParagraphFont"/>
    <w:link w:val="Heading3"/>
    <w:uiPriority w:val="9"/>
    <w:rsid w:val="00E447B3"/>
    <w:rPr>
      <w:rFonts w:ascii="Impact" w:hAnsi="Impact" w:cs="Impact"/>
      <w:color w:val="244B9A"/>
      <w:sz w:val="32"/>
      <w:szCs w:val="32"/>
    </w:rPr>
  </w:style>
  <w:style w:type="paragraph" w:styleId="BodyText">
    <w:name w:val="Body Text"/>
    <w:link w:val="BodyTextChar"/>
    <w:rsid w:val="00EB2635"/>
    <w:pPr>
      <w:spacing w:after="200" w:line="280" w:lineRule="atLeast"/>
    </w:pPr>
    <w:rPr>
      <w:rFonts w:eastAsia="Times New Roman" w:cs="Arial"/>
      <w:iCs/>
      <w:color w:val="4B4B4B"/>
      <w:sz w:val="20"/>
      <w:szCs w:val="20"/>
    </w:rPr>
  </w:style>
  <w:style w:type="character" w:customStyle="1" w:styleId="BodyTextChar">
    <w:name w:val="Body Text Char"/>
    <w:basedOn w:val="DefaultParagraphFont"/>
    <w:link w:val="BodyText"/>
    <w:rsid w:val="00EB2635"/>
    <w:rPr>
      <w:rFonts w:eastAsia="Times New Roman" w:cs="Arial"/>
      <w:iCs/>
      <w:color w:val="4B4B4B"/>
      <w:sz w:val="20"/>
      <w:szCs w:val="20"/>
    </w:rPr>
  </w:style>
  <w:style w:type="paragraph" w:styleId="NoSpacing">
    <w:name w:val="No Spacing"/>
    <w:uiPriority w:val="1"/>
    <w:qFormat/>
    <w:rsid w:val="008C3E83"/>
  </w:style>
  <w:style w:type="character" w:customStyle="1" w:styleId="Heading4Char">
    <w:name w:val="Heading 4 Char"/>
    <w:basedOn w:val="DefaultParagraphFont"/>
    <w:link w:val="Heading4"/>
    <w:uiPriority w:val="9"/>
    <w:semiHidden/>
    <w:rsid w:val="00AD17B8"/>
    <w:rPr>
      <w:rFonts w:asciiTheme="majorHAnsi" w:eastAsiaTheme="majorEastAsia" w:hAnsiTheme="majorHAnsi" w:cstheme="majorBidi"/>
      <w:i/>
      <w:iCs/>
      <w:color w:val="365F91" w:themeColor="accent1" w:themeShade="BF"/>
    </w:rPr>
  </w:style>
  <w:style w:type="paragraph" w:styleId="TOC3">
    <w:name w:val="toc 3"/>
    <w:basedOn w:val="Normal"/>
    <w:next w:val="Normal"/>
    <w:autoRedefine/>
    <w:uiPriority w:val="39"/>
    <w:unhideWhenUsed/>
    <w:rsid w:val="00464FC1"/>
    <w:pPr>
      <w:spacing w:after="100"/>
      <w:ind w:left="480"/>
    </w:pPr>
    <w:rPr>
      <w:sz w:val="22"/>
    </w:rPr>
  </w:style>
  <w:style w:type="character" w:customStyle="1" w:styleId="Heading5Char">
    <w:name w:val="Heading 5 Char"/>
    <w:basedOn w:val="DefaultParagraphFont"/>
    <w:link w:val="Heading5"/>
    <w:uiPriority w:val="9"/>
    <w:semiHidden/>
    <w:rsid w:val="00AD17B8"/>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rsid w:val="00AD17B8"/>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AD17B8"/>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AD17B8"/>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AD17B8"/>
    <w:rPr>
      <w:rFonts w:asciiTheme="majorHAnsi" w:eastAsiaTheme="majorEastAsia" w:hAnsiTheme="majorHAnsi" w:cstheme="majorBidi"/>
      <w:i/>
      <w:iCs/>
      <w:color w:val="272727" w:themeColor="text1" w:themeTint="D8"/>
      <w:sz w:val="21"/>
      <w:szCs w:val="21"/>
    </w:rPr>
  </w:style>
  <w:style w:type="paragraph" w:styleId="Title">
    <w:name w:val="Title"/>
    <w:basedOn w:val="Normal"/>
    <w:next w:val="Normal"/>
    <w:link w:val="TitleChar"/>
    <w:uiPriority w:val="10"/>
    <w:qFormat/>
    <w:rsid w:val="00F44781"/>
    <w:pPr>
      <w:spacing w:after="120"/>
      <w:jc w:val="center"/>
      <w:outlineLvl w:val="0"/>
    </w:pPr>
    <w:rPr>
      <w:rFonts w:ascii="Impact" w:hAnsi="Impact" w:cs="Impact"/>
      <w:color w:val="244B9A"/>
      <w:sz w:val="48"/>
      <w:szCs w:val="32"/>
    </w:rPr>
  </w:style>
  <w:style w:type="character" w:customStyle="1" w:styleId="TitleChar">
    <w:name w:val="Title Char"/>
    <w:basedOn w:val="DefaultParagraphFont"/>
    <w:link w:val="Title"/>
    <w:uiPriority w:val="10"/>
    <w:rsid w:val="00F44781"/>
    <w:rPr>
      <w:rFonts w:ascii="Impact" w:hAnsi="Impact" w:cs="Impact"/>
      <w:color w:val="244B9A"/>
      <w:sz w:val="48"/>
      <w:szCs w:val="32"/>
    </w:rPr>
  </w:style>
  <w:style w:type="paragraph" w:customStyle="1" w:styleId="Bulletlist">
    <w:name w:val="Bullet list"/>
    <w:basedOn w:val="BodyText"/>
    <w:qFormat/>
    <w:rsid w:val="000F0063"/>
    <w:pPr>
      <w:numPr>
        <w:numId w:val="29"/>
      </w:numPr>
      <w:spacing w:after="240" w:line="240" w:lineRule="auto"/>
      <w:ind w:left="357" w:firstLine="0"/>
    </w:pPr>
    <w:rPr>
      <w:color w:val="auto"/>
      <w:sz w:val="24"/>
      <w:szCs w:val="22"/>
    </w:rPr>
  </w:style>
  <w:style w:type="character" w:styleId="Strong">
    <w:name w:val="Strong"/>
    <w:basedOn w:val="DefaultParagraphFont"/>
    <w:uiPriority w:val="22"/>
    <w:qFormat/>
    <w:rsid w:val="002A78D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2574696">
      <w:bodyDiv w:val="1"/>
      <w:marLeft w:val="0"/>
      <w:marRight w:val="0"/>
      <w:marTop w:val="0"/>
      <w:marBottom w:val="0"/>
      <w:divBdr>
        <w:top w:val="single" w:sz="18" w:space="15" w:color="0088CC"/>
        <w:left w:val="none" w:sz="0" w:space="0" w:color="auto"/>
        <w:bottom w:val="none" w:sz="0" w:space="0" w:color="auto"/>
        <w:right w:val="none" w:sz="0" w:space="0" w:color="auto"/>
      </w:divBdr>
      <w:divsChild>
        <w:div w:id="449587817">
          <w:marLeft w:val="0"/>
          <w:marRight w:val="0"/>
          <w:marTop w:val="0"/>
          <w:marBottom w:val="0"/>
          <w:divBdr>
            <w:top w:val="none" w:sz="0" w:space="0" w:color="auto"/>
            <w:left w:val="none" w:sz="0" w:space="0" w:color="auto"/>
            <w:bottom w:val="none" w:sz="0" w:space="0" w:color="auto"/>
            <w:right w:val="none" w:sz="0" w:space="0" w:color="auto"/>
          </w:divBdr>
          <w:divsChild>
            <w:div w:id="1947349847">
              <w:marLeft w:val="0"/>
              <w:marRight w:val="0"/>
              <w:marTop w:val="0"/>
              <w:marBottom w:val="0"/>
              <w:divBdr>
                <w:top w:val="none" w:sz="0" w:space="0" w:color="auto"/>
                <w:left w:val="none" w:sz="0" w:space="0" w:color="auto"/>
                <w:bottom w:val="none" w:sz="0" w:space="0" w:color="auto"/>
                <w:right w:val="none" w:sz="0" w:space="0" w:color="auto"/>
              </w:divBdr>
              <w:divsChild>
                <w:div w:id="1898468137">
                  <w:marLeft w:val="0"/>
                  <w:marRight w:val="0"/>
                  <w:marTop w:val="0"/>
                  <w:marBottom w:val="0"/>
                  <w:divBdr>
                    <w:top w:val="none" w:sz="0" w:space="0" w:color="auto"/>
                    <w:left w:val="none" w:sz="0" w:space="0" w:color="auto"/>
                    <w:bottom w:val="none" w:sz="0" w:space="0" w:color="auto"/>
                    <w:right w:val="none" w:sz="0" w:space="0" w:color="auto"/>
                  </w:divBdr>
                  <w:divsChild>
                    <w:div w:id="518860779">
                      <w:marLeft w:val="0"/>
                      <w:marRight w:val="0"/>
                      <w:marTop w:val="0"/>
                      <w:marBottom w:val="0"/>
                      <w:divBdr>
                        <w:top w:val="none" w:sz="0" w:space="0" w:color="auto"/>
                        <w:left w:val="none" w:sz="0" w:space="0" w:color="auto"/>
                        <w:bottom w:val="none" w:sz="0" w:space="0" w:color="auto"/>
                        <w:right w:val="none" w:sz="0" w:space="0" w:color="auto"/>
                      </w:divBdr>
                      <w:divsChild>
                        <w:div w:id="1162358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713930">
      <w:bodyDiv w:val="1"/>
      <w:marLeft w:val="0"/>
      <w:marRight w:val="0"/>
      <w:marTop w:val="0"/>
      <w:marBottom w:val="0"/>
      <w:divBdr>
        <w:top w:val="none" w:sz="0" w:space="0" w:color="auto"/>
        <w:left w:val="none" w:sz="0" w:space="0" w:color="auto"/>
        <w:bottom w:val="none" w:sz="0" w:space="0" w:color="auto"/>
        <w:right w:val="none" w:sz="0" w:space="0" w:color="auto"/>
      </w:divBdr>
      <w:divsChild>
        <w:div w:id="1199244005">
          <w:marLeft w:val="0"/>
          <w:marRight w:val="0"/>
          <w:marTop w:val="0"/>
          <w:marBottom w:val="0"/>
          <w:divBdr>
            <w:top w:val="none" w:sz="0" w:space="0" w:color="auto"/>
            <w:left w:val="none" w:sz="0" w:space="0" w:color="auto"/>
            <w:bottom w:val="none" w:sz="0" w:space="0" w:color="auto"/>
            <w:right w:val="none" w:sz="0" w:space="0" w:color="auto"/>
          </w:divBdr>
          <w:divsChild>
            <w:div w:id="297885594">
              <w:marLeft w:val="0"/>
              <w:marRight w:val="0"/>
              <w:marTop w:val="0"/>
              <w:marBottom w:val="0"/>
              <w:divBdr>
                <w:top w:val="none" w:sz="0" w:space="0" w:color="auto"/>
                <w:left w:val="none" w:sz="0" w:space="0" w:color="auto"/>
                <w:bottom w:val="none" w:sz="0" w:space="0" w:color="auto"/>
                <w:right w:val="none" w:sz="0" w:space="0" w:color="auto"/>
              </w:divBdr>
              <w:divsChild>
                <w:div w:id="307176738">
                  <w:marLeft w:val="0"/>
                  <w:marRight w:val="0"/>
                  <w:marTop w:val="0"/>
                  <w:marBottom w:val="0"/>
                  <w:divBdr>
                    <w:top w:val="none" w:sz="0" w:space="0" w:color="auto"/>
                    <w:left w:val="none" w:sz="0" w:space="0" w:color="auto"/>
                    <w:bottom w:val="none" w:sz="0" w:space="0" w:color="auto"/>
                    <w:right w:val="none" w:sz="0" w:space="0" w:color="auto"/>
                  </w:divBdr>
                  <w:divsChild>
                    <w:div w:id="801314478">
                      <w:marLeft w:val="0"/>
                      <w:marRight w:val="0"/>
                      <w:marTop w:val="0"/>
                      <w:marBottom w:val="0"/>
                      <w:divBdr>
                        <w:top w:val="none" w:sz="0" w:space="0" w:color="auto"/>
                        <w:left w:val="none" w:sz="0" w:space="0" w:color="auto"/>
                        <w:bottom w:val="none" w:sz="0" w:space="0" w:color="auto"/>
                        <w:right w:val="none" w:sz="0" w:space="0" w:color="auto"/>
                      </w:divBdr>
                      <w:divsChild>
                        <w:div w:id="196904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1955321">
      <w:bodyDiv w:val="1"/>
      <w:marLeft w:val="0"/>
      <w:marRight w:val="0"/>
      <w:marTop w:val="0"/>
      <w:marBottom w:val="0"/>
      <w:divBdr>
        <w:top w:val="none" w:sz="0" w:space="0" w:color="auto"/>
        <w:left w:val="none" w:sz="0" w:space="0" w:color="auto"/>
        <w:bottom w:val="none" w:sz="0" w:space="0" w:color="auto"/>
        <w:right w:val="none" w:sz="0" w:space="0" w:color="auto"/>
      </w:divBdr>
      <w:divsChild>
        <w:div w:id="1360736043">
          <w:marLeft w:val="0"/>
          <w:marRight w:val="0"/>
          <w:marTop w:val="0"/>
          <w:marBottom w:val="0"/>
          <w:divBdr>
            <w:top w:val="none" w:sz="0" w:space="0" w:color="auto"/>
            <w:left w:val="none" w:sz="0" w:space="0" w:color="auto"/>
            <w:bottom w:val="none" w:sz="0" w:space="0" w:color="auto"/>
            <w:right w:val="none" w:sz="0" w:space="0" w:color="auto"/>
          </w:divBdr>
          <w:divsChild>
            <w:div w:id="2031057720">
              <w:marLeft w:val="0"/>
              <w:marRight w:val="0"/>
              <w:marTop w:val="0"/>
              <w:marBottom w:val="0"/>
              <w:divBdr>
                <w:top w:val="none" w:sz="0" w:space="0" w:color="auto"/>
                <w:left w:val="none" w:sz="0" w:space="0" w:color="auto"/>
                <w:bottom w:val="none" w:sz="0" w:space="0" w:color="auto"/>
                <w:right w:val="none" w:sz="0" w:space="0" w:color="auto"/>
              </w:divBdr>
              <w:divsChild>
                <w:div w:id="1042560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6702310">
      <w:bodyDiv w:val="1"/>
      <w:marLeft w:val="0"/>
      <w:marRight w:val="0"/>
      <w:marTop w:val="0"/>
      <w:marBottom w:val="0"/>
      <w:divBdr>
        <w:top w:val="none" w:sz="0" w:space="0" w:color="auto"/>
        <w:left w:val="none" w:sz="0" w:space="0" w:color="auto"/>
        <w:bottom w:val="none" w:sz="0" w:space="0" w:color="auto"/>
        <w:right w:val="none" w:sz="0" w:space="0" w:color="auto"/>
      </w:divBdr>
    </w:div>
    <w:div w:id="987635464">
      <w:bodyDiv w:val="1"/>
      <w:marLeft w:val="0"/>
      <w:marRight w:val="0"/>
      <w:marTop w:val="0"/>
      <w:marBottom w:val="0"/>
      <w:divBdr>
        <w:top w:val="none" w:sz="0" w:space="0" w:color="auto"/>
        <w:left w:val="none" w:sz="0" w:space="0" w:color="auto"/>
        <w:bottom w:val="none" w:sz="0" w:space="0" w:color="auto"/>
        <w:right w:val="none" w:sz="0" w:space="0" w:color="auto"/>
      </w:divBdr>
    </w:div>
    <w:div w:id="1147404776">
      <w:bodyDiv w:val="1"/>
      <w:marLeft w:val="0"/>
      <w:marRight w:val="0"/>
      <w:marTop w:val="0"/>
      <w:marBottom w:val="0"/>
      <w:divBdr>
        <w:top w:val="none" w:sz="0" w:space="0" w:color="auto"/>
        <w:left w:val="none" w:sz="0" w:space="0" w:color="auto"/>
        <w:bottom w:val="none" w:sz="0" w:space="0" w:color="auto"/>
        <w:right w:val="none" w:sz="0" w:space="0" w:color="auto"/>
      </w:divBdr>
    </w:div>
    <w:div w:id="1216745667">
      <w:bodyDiv w:val="1"/>
      <w:marLeft w:val="0"/>
      <w:marRight w:val="0"/>
      <w:marTop w:val="0"/>
      <w:marBottom w:val="0"/>
      <w:divBdr>
        <w:top w:val="none" w:sz="0" w:space="0" w:color="auto"/>
        <w:left w:val="none" w:sz="0" w:space="0" w:color="auto"/>
        <w:bottom w:val="none" w:sz="0" w:space="0" w:color="auto"/>
        <w:right w:val="none" w:sz="0" w:space="0" w:color="auto"/>
      </w:divBdr>
    </w:div>
    <w:div w:id="1254823478">
      <w:bodyDiv w:val="1"/>
      <w:marLeft w:val="4"/>
      <w:marRight w:val="4"/>
      <w:marTop w:val="0"/>
      <w:marBottom w:val="0"/>
      <w:divBdr>
        <w:top w:val="none" w:sz="0" w:space="0" w:color="auto"/>
        <w:left w:val="none" w:sz="0" w:space="0" w:color="auto"/>
        <w:bottom w:val="none" w:sz="0" w:space="0" w:color="auto"/>
        <w:right w:val="none" w:sz="0" w:space="0" w:color="auto"/>
      </w:divBdr>
      <w:divsChild>
        <w:div w:id="1075665017">
          <w:marLeft w:val="0"/>
          <w:marRight w:val="0"/>
          <w:marTop w:val="0"/>
          <w:marBottom w:val="0"/>
          <w:divBdr>
            <w:top w:val="none" w:sz="0" w:space="0" w:color="auto"/>
            <w:left w:val="none" w:sz="0" w:space="0" w:color="auto"/>
            <w:bottom w:val="none" w:sz="0" w:space="0" w:color="auto"/>
            <w:right w:val="none" w:sz="0" w:space="0" w:color="auto"/>
          </w:divBdr>
          <w:divsChild>
            <w:div w:id="1957249517">
              <w:marLeft w:val="0"/>
              <w:marRight w:val="0"/>
              <w:marTop w:val="0"/>
              <w:marBottom w:val="0"/>
              <w:divBdr>
                <w:top w:val="none" w:sz="0" w:space="0" w:color="auto"/>
                <w:left w:val="none" w:sz="0" w:space="0" w:color="auto"/>
                <w:bottom w:val="none" w:sz="0" w:space="0" w:color="auto"/>
                <w:right w:val="none" w:sz="0" w:space="0" w:color="auto"/>
              </w:divBdr>
              <w:divsChild>
                <w:div w:id="1950119720">
                  <w:marLeft w:val="0"/>
                  <w:marRight w:val="0"/>
                  <w:marTop w:val="0"/>
                  <w:marBottom w:val="0"/>
                  <w:divBdr>
                    <w:top w:val="none" w:sz="0" w:space="0" w:color="auto"/>
                    <w:left w:val="none" w:sz="0" w:space="0" w:color="auto"/>
                    <w:bottom w:val="none" w:sz="0" w:space="0" w:color="auto"/>
                    <w:right w:val="none" w:sz="0" w:space="0" w:color="auto"/>
                  </w:divBdr>
                  <w:divsChild>
                    <w:div w:id="108622172">
                      <w:marLeft w:val="0"/>
                      <w:marRight w:val="0"/>
                      <w:marTop w:val="0"/>
                      <w:marBottom w:val="0"/>
                      <w:divBdr>
                        <w:top w:val="none" w:sz="0" w:space="0" w:color="auto"/>
                        <w:left w:val="none" w:sz="0" w:space="0" w:color="auto"/>
                        <w:bottom w:val="none" w:sz="0" w:space="0" w:color="auto"/>
                        <w:right w:val="none" w:sz="0" w:space="0" w:color="auto"/>
                      </w:divBdr>
                      <w:divsChild>
                        <w:div w:id="1629772680">
                          <w:marLeft w:val="0"/>
                          <w:marRight w:val="0"/>
                          <w:marTop w:val="0"/>
                          <w:marBottom w:val="0"/>
                          <w:divBdr>
                            <w:top w:val="none" w:sz="0" w:space="0" w:color="auto"/>
                            <w:left w:val="none" w:sz="0" w:space="0" w:color="auto"/>
                            <w:bottom w:val="none" w:sz="0" w:space="0" w:color="auto"/>
                            <w:right w:val="none" w:sz="0" w:space="0" w:color="auto"/>
                          </w:divBdr>
                          <w:divsChild>
                            <w:div w:id="1909226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5962709">
      <w:bodyDiv w:val="1"/>
      <w:marLeft w:val="0"/>
      <w:marRight w:val="0"/>
      <w:marTop w:val="0"/>
      <w:marBottom w:val="0"/>
      <w:divBdr>
        <w:top w:val="none" w:sz="0" w:space="0" w:color="auto"/>
        <w:left w:val="none" w:sz="0" w:space="0" w:color="auto"/>
        <w:bottom w:val="none" w:sz="0" w:space="0" w:color="auto"/>
        <w:right w:val="none" w:sz="0" w:space="0" w:color="auto"/>
      </w:divBdr>
    </w:div>
    <w:div w:id="1397245420">
      <w:bodyDiv w:val="1"/>
      <w:marLeft w:val="0"/>
      <w:marRight w:val="0"/>
      <w:marTop w:val="0"/>
      <w:marBottom w:val="0"/>
      <w:divBdr>
        <w:top w:val="none" w:sz="0" w:space="0" w:color="auto"/>
        <w:left w:val="none" w:sz="0" w:space="0" w:color="auto"/>
        <w:bottom w:val="none" w:sz="0" w:space="0" w:color="auto"/>
        <w:right w:val="none" w:sz="0" w:space="0" w:color="auto"/>
      </w:divBdr>
      <w:divsChild>
        <w:div w:id="1393230166">
          <w:marLeft w:val="0"/>
          <w:marRight w:val="0"/>
          <w:marTop w:val="0"/>
          <w:marBottom w:val="0"/>
          <w:divBdr>
            <w:top w:val="none" w:sz="0" w:space="0" w:color="auto"/>
            <w:left w:val="none" w:sz="0" w:space="0" w:color="auto"/>
            <w:bottom w:val="none" w:sz="0" w:space="0" w:color="auto"/>
            <w:right w:val="none" w:sz="0" w:space="0" w:color="auto"/>
          </w:divBdr>
          <w:divsChild>
            <w:div w:id="1829442467">
              <w:marLeft w:val="0"/>
              <w:marRight w:val="0"/>
              <w:marTop w:val="0"/>
              <w:marBottom w:val="0"/>
              <w:divBdr>
                <w:top w:val="none" w:sz="0" w:space="0" w:color="auto"/>
                <w:left w:val="none" w:sz="0" w:space="0" w:color="auto"/>
                <w:bottom w:val="none" w:sz="0" w:space="0" w:color="auto"/>
                <w:right w:val="none" w:sz="0" w:space="0" w:color="auto"/>
              </w:divBdr>
              <w:divsChild>
                <w:div w:id="791292884">
                  <w:marLeft w:val="0"/>
                  <w:marRight w:val="0"/>
                  <w:marTop w:val="0"/>
                  <w:marBottom w:val="0"/>
                  <w:divBdr>
                    <w:top w:val="none" w:sz="0" w:space="0" w:color="auto"/>
                    <w:left w:val="none" w:sz="0" w:space="0" w:color="auto"/>
                    <w:bottom w:val="none" w:sz="0" w:space="0" w:color="auto"/>
                    <w:right w:val="none" w:sz="0" w:space="0" w:color="auto"/>
                  </w:divBdr>
                  <w:divsChild>
                    <w:div w:id="1373849830">
                      <w:marLeft w:val="0"/>
                      <w:marRight w:val="0"/>
                      <w:marTop w:val="0"/>
                      <w:marBottom w:val="0"/>
                      <w:divBdr>
                        <w:top w:val="none" w:sz="0" w:space="0" w:color="auto"/>
                        <w:left w:val="none" w:sz="0" w:space="0" w:color="auto"/>
                        <w:bottom w:val="none" w:sz="0" w:space="0" w:color="auto"/>
                        <w:right w:val="none" w:sz="0" w:space="0" w:color="auto"/>
                      </w:divBdr>
                      <w:divsChild>
                        <w:div w:id="921066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3319531">
      <w:bodyDiv w:val="1"/>
      <w:marLeft w:val="0"/>
      <w:marRight w:val="0"/>
      <w:marTop w:val="0"/>
      <w:marBottom w:val="0"/>
      <w:divBdr>
        <w:top w:val="none" w:sz="0" w:space="0" w:color="auto"/>
        <w:left w:val="none" w:sz="0" w:space="0" w:color="auto"/>
        <w:bottom w:val="none" w:sz="0" w:space="0" w:color="auto"/>
        <w:right w:val="none" w:sz="0" w:space="0" w:color="auto"/>
      </w:divBdr>
      <w:divsChild>
        <w:div w:id="1670669331">
          <w:marLeft w:val="0"/>
          <w:marRight w:val="0"/>
          <w:marTop w:val="0"/>
          <w:marBottom w:val="0"/>
          <w:divBdr>
            <w:top w:val="none" w:sz="0" w:space="0" w:color="auto"/>
            <w:left w:val="none" w:sz="0" w:space="0" w:color="auto"/>
            <w:bottom w:val="none" w:sz="0" w:space="0" w:color="auto"/>
            <w:right w:val="none" w:sz="0" w:space="0" w:color="auto"/>
          </w:divBdr>
          <w:divsChild>
            <w:div w:id="452212465">
              <w:marLeft w:val="0"/>
              <w:marRight w:val="0"/>
              <w:marTop w:val="0"/>
              <w:marBottom w:val="0"/>
              <w:divBdr>
                <w:top w:val="single" w:sz="2" w:space="0" w:color="FFFFFF"/>
                <w:left w:val="single" w:sz="6" w:space="0" w:color="FFFFFF"/>
                <w:bottom w:val="single" w:sz="6" w:space="0" w:color="FFFFFF"/>
                <w:right w:val="single" w:sz="6" w:space="0" w:color="FFFFFF"/>
              </w:divBdr>
              <w:divsChild>
                <w:div w:id="24068161">
                  <w:marLeft w:val="0"/>
                  <w:marRight w:val="0"/>
                  <w:marTop w:val="0"/>
                  <w:marBottom w:val="0"/>
                  <w:divBdr>
                    <w:top w:val="single" w:sz="6" w:space="1" w:color="D3D3D3"/>
                    <w:left w:val="none" w:sz="0" w:space="0" w:color="auto"/>
                    <w:bottom w:val="none" w:sz="0" w:space="0" w:color="auto"/>
                    <w:right w:val="none" w:sz="0" w:space="0" w:color="auto"/>
                  </w:divBdr>
                  <w:divsChild>
                    <w:div w:id="778843019">
                      <w:marLeft w:val="0"/>
                      <w:marRight w:val="0"/>
                      <w:marTop w:val="0"/>
                      <w:marBottom w:val="0"/>
                      <w:divBdr>
                        <w:top w:val="none" w:sz="0" w:space="0" w:color="auto"/>
                        <w:left w:val="none" w:sz="0" w:space="0" w:color="auto"/>
                        <w:bottom w:val="none" w:sz="0" w:space="0" w:color="auto"/>
                        <w:right w:val="none" w:sz="0" w:space="0" w:color="auto"/>
                      </w:divBdr>
                      <w:divsChild>
                        <w:div w:id="1642421172">
                          <w:marLeft w:val="0"/>
                          <w:marRight w:val="0"/>
                          <w:marTop w:val="0"/>
                          <w:marBottom w:val="0"/>
                          <w:divBdr>
                            <w:top w:val="none" w:sz="0" w:space="0" w:color="auto"/>
                            <w:left w:val="none" w:sz="0" w:space="0" w:color="auto"/>
                            <w:bottom w:val="none" w:sz="0" w:space="0" w:color="auto"/>
                            <w:right w:val="none" w:sz="0" w:space="0" w:color="auto"/>
                          </w:divBdr>
                          <w:divsChild>
                            <w:div w:id="1395397065">
                              <w:marLeft w:val="0"/>
                              <w:marRight w:val="0"/>
                              <w:marTop w:val="0"/>
                              <w:marBottom w:val="0"/>
                              <w:divBdr>
                                <w:top w:val="none" w:sz="0" w:space="0" w:color="auto"/>
                                <w:left w:val="none" w:sz="0" w:space="0" w:color="auto"/>
                                <w:bottom w:val="none" w:sz="0" w:space="0" w:color="auto"/>
                                <w:right w:val="none" w:sz="0" w:space="0" w:color="auto"/>
                              </w:divBdr>
                              <w:divsChild>
                                <w:div w:id="845750840">
                                  <w:marLeft w:val="0"/>
                                  <w:marRight w:val="0"/>
                                  <w:marTop w:val="0"/>
                                  <w:marBottom w:val="0"/>
                                  <w:divBdr>
                                    <w:top w:val="none" w:sz="0" w:space="0" w:color="auto"/>
                                    <w:left w:val="none" w:sz="0" w:space="0" w:color="auto"/>
                                    <w:bottom w:val="none" w:sz="0" w:space="0" w:color="auto"/>
                                    <w:right w:val="none" w:sz="0" w:space="0" w:color="auto"/>
                                  </w:divBdr>
                                  <w:divsChild>
                                    <w:div w:id="1015617215">
                                      <w:marLeft w:val="0"/>
                                      <w:marRight w:val="0"/>
                                      <w:marTop w:val="0"/>
                                      <w:marBottom w:val="0"/>
                                      <w:divBdr>
                                        <w:top w:val="none" w:sz="0" w:space="0" w:color="auto"/>
                                        <w:left w:val="none" w:sz="0" w:space="0" w:color="auto"/>
                                        <w:bottom w:val="none" w:sz="0" w:space="0" w:color="auto"/>
                                        <w:right w:val="none" w:sz="0" w:space="0" w:color="auto"/>
                                      </w:divBdr>
                                      <w:divsChild>
                                        <w:div w:id="338434912">
                                          <w:marLeft w:val="0"/>
                                          <w:marRight w:val="0"/>
                                          <w:marTop w:val="0"/>
                                          <w:marBottom w:val="0"/>
                                          <w:divBdr>
                                            <w:top w:val="none" w:sz="0" w:space="0" w:color="auto"/>
                                            <w:left w:val="none" w:sz="0" w:space="0" w:color="auto"/>
                                            <w:bottom w:val="none" w:sz="0" w:space="0" w:color="auto"/>
                                            <w:right w:val="none" w:sz="0" w:space="0" w:color="auto"/>
                                          </w:divBdr>
                                        </w:div>
                                      </w:divsChild>
                                    </w:div>
                                    <w:div w:id="2098211119">
                                      <w:marLeft w:val="0"/>
                                      <w:marRight w:val="0"/>
                                      <w:marTop w:val="0"/>
                                      <w:marBottom w:val="0"/>
                                      <w:divBdr>
                                        <w:top w:val="none" w:sz="0" w:space="0" w:color="auto"/>
                                        <w:left w:val="none" w:sz="0" w:space="0" w:color="auto"/>
                                        <w:bottom w:val="none" w:sz="0" w:space="0" w:color="auto"/>
                                        <w:right w:val="none" w:sz="0" w:space="0" w:color="auto"/>
                                      </w:divBdr>
                                      <w:divsChild>
                                        <w:div w:id="2105615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13630933">
      <w:bodyDiv w:val="1"/>
      <w:marLeft w:val="0"/>
      <w:marRight w:val="0"/>
      <w:marTop w:val="0"/>
      <w:marBottom w:val="0"/>
      <w:divBdr>
        <w:top w:val="none" w:sz="0" w:space="0" w:color="auto"/>
        <w:left w:val="none" w:sz="0" w:space="0" w:color="auto"/>
        <w:bottom w:val="none" w:sz="0" w:space="0" w:color="auto"/>
        <w:right w:val="none" w:sz="0" w:space="0" w:color="auto"/>
      </w:divBdr>
    </w:div>
    <w:div w:id="1831827289">
      <w:bodyDiv w:val="1"/>
      <w:marLeft w:val="0"/>
      <w:marRight w:val="0"/>
      <w:marTop w:val="0"/>
      <w:marBottom w:val="0"/>
      <w:divBdr>
        <w:top w:val="none" w:sz="0" w:space="0" w:color="auto"/>
        <w:left w:val="none" w:sz="0" w:space="0" w:color="auto"/>
        <w:bottom w:val="none" w:sz="0" w:space="0" w:color="auto"/>
        <w:right w:val="none" w:sz="0" w:space="0" w:color="auto"/>
      </w:divBdr>
    </w:div>
    <w:div w:id="2066952824">
      <w:bodyDiv w:val="1"/>
      <w:marLeft w:val="4"/>
      <w:marRight w:val="4"/>
      <w:marTop w:val="0"/>
      <w:marBottom w:val="0"/>
      <w:divBdr>
        <w:top w:val="none" w:sz="0" w:space="0" w:color="auto"/>
        <w:left w:val="none" w:sz="0" w:space="0" w:color="auto"/>
        <w:bottom w:val="none" w:sz="0" w:space="0" w:color="auto"/>
        <w:right w:val="none" w:sz="0" w:space="0" w:color="auto"/>
      </w:divBdr>
      <w:divsChild>
        <w:div w:id="1933509248">
          <w:marLeft w:val="0"/>
          <w:marRight w:val="0"/>
          <w:marTop w:val="0"/>
          <w:marBottom w:val="0"/>
          <w:divBdr>
            <w:top w:val="none" w:sz="0" w:space="0" w:color="auto"/>
            <w:left w:val="none" w:sz="0" w:space="0" w:color="auto"/>
            <w:bottom w:val="none" w:sz="0" w:space="0" w:color="auto"/>
            <w:right w:val="none" w:sz="0" w:space="0" w:color="auto"/>
          </w:divBdr>
          <w:divsChild>
            <w:div w:id="1067804922">
              <w:marLeft w:val="0"/>
              <w:marRight w:val="0"/>
              <w:marTop w:val="0"/>
              <w:marBottom w:val="0"/>
              <w:divBdr>
                <w:top w:val="none" w:sz="0" w:space="0" w:color="auto"/>
                <w:left w:val="none" w:sz="0" w:space="0" w:color="auto"/>
                <w:bottom w:val="none" w:sz="0" w:space="0" w:color="auto"/>
                <w:right w:val="none" w:sz="0" w:space="0" w:color="auto"/>
              </w:divBdr>
              <w:divsChild>
                <w:div w:id="741099483">
                  <w:marLeft w:val="0"/>
                  <w:marRight w:val="0"/>
                  <w:marTop w:val="0"/>
                  <w:marBottom w:val="0"/>
                  <w:divBdr>
                    <w:top w:val="none" w:sz="0" w:space="0" w:color="auto"/>
                    <w:left w:val="none" w:sz="0" w:space="0" w:color="auto"/>
                    <w:bottom w:val="none" w:sz="0" w:space="0" w:color="auto"/>
                    <w:right w:val="none" w:sz="0" w:space="0" w:color="auto"/>
                  </w:divBdr>
                  <w:divsChild>
                    <w:div w:id="1461267527">
                      <w:marLeft w:val="0"/>
                      <w:marRight w:val="0"/>
                      <w:marTop w:val="0"/>
                      <w:marBottom w:val="0"/>
                      <w:divBdr>
                        <w:top w:val="none" w:sz="0" w:space="0" w:color="auto"/>
                        <w:left w:val="none" w:sz="0" w:space="0" w:color="auto"/>
                        <w:bottom w:val="none" w:sz="0" w:space="0" w:color="auto"/>
                        <w:right w:val="none" w:sz="0" w:space="0" w:color="auto"/>
                      </w:divBdr>
                      <w:divsChild>
                        <w:div w:id="92819484">
                          <w:marLeft w:val="0"/>
                          <w:marRight w:val="0"/>
                          <w:marTop w:val="0"/>
                          <w:marBottom w:val="0"/>
                          <w:divBdr>
                            <w:top w:val="none" w:sz="0" w:space="0" w:color="auto"/>
                            <w:left w:val="none" w:sz="0" w:space="0" w:color="auto"/>
                            <w:bottom w:val="none" w:sz="0" w:space="0" w:color="auto"/>
                            <w:right w:val="none" w:sz="0" w:space="0" w:color="auto"/>
                          </w:divBdr>
                          <w:divsChild>
                            <w:div w:id="1660959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jpeg"/><Relationship Id="rId18" Type="http://schemas.openxmlformats.org/officeDocument/2006/relationships/hyperlink" Target="https://www.legislation.gov.uk/uksi/2006/3432/schedule/1/part/8/paragraph/5/made" TargetMode="External"/><Relationship Id="rId26" Type="http://schemas.openxmlformats.org/officeDocument/2006/relationships/hyperlink" Target="https://www.thepensionsregulator.gov.uk/-/media/thepensionsregulator/files/import/pdf/code-14-public-service.ashx" TargetMode="External"/><Relationship Id="rId39" Type="http://schemas.openxmlformats.org/officeDocument/2006/relationships/hyperlink" Target="http://www.fpsregs.org/images/admin/Forecasting0719.pdf" TargetMode="External"/><Relationship Id="rId21" Type="http://schemas.openxmlformats.org/officeDocument/2006/relationships/hyperlink" Target="http://www.fpsregs.org/images/Factsheets/IDRP-factsheet.pdf" TargetMode="External"/><Relationship Id="rId34" Type="http://schemas.openxmlformats.org/officeDocument/2006/relationships/hyperlink" Target="http://fpsregs.org/index.php/legal-landscape/annual-update-sis" TargetMode="External"/><Relationship Id="rId42" Type="http://schemas.openxmlformats.org/officeDocument/2006/relationships/hyperlink" Target="http://www.legislation.gov.uk/uksi/2006/569/contents/made" TargetMode="External"/><Relationship Id="rId47" Type="http://schemas.openxmlformats.org/officeDocument/2006/relationships/hyperlink" Target="http://www.legislation.gov.uk/ukpga/2013/25/section/5" TargetMode="External"/><Relationship Id="rId50" Type="http://schemas.openxmlformats.org/officeDocument/2006/relationships/hyperlink" Target="https://education.thepensionsregulator.gov.uk/login/index.php" TargetMode="External"/><Relationship Id="rId55"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legislation.gov.uk/uksi/2013/1392/schedule/paragraph/8/made" TargetMode="External"/><Relationship Id="rId25" Type="http://schemas.openxmlformats.org/officeDocument/2006/relationships/hyperlink" Target="http://www.legislation.gov.uk/ukpga/2013/25/schedule/4" TargetMode="External"/><Relationship Id="rId33" Type="http://schemas.openxmlformats.org/officeDocument/2006/relationships/hyperlink" Target="https://www.thepensionsregulator.gov.uk/en/trustees/managing-db-benefits/governance-and-administration/record-keeping/improve-your-scheme-data" TargetMode="External"/><Relationship Id="rId38" Type="http://schemas.openxmlformats.org/officeDocument/2006/relationships/image" Target="media/image4.png"/><Relationship Id="rId46" Type="http://schemas.openxmlformats.org/officeDocument/2006/relationships/hyperlink" Target="https://www.thepensionsregulator.gov.uk/-/media/thepensionsregulator/files/import/pdf/code-14-public-service.ashx" TargetMode="External"/><Relationship Id="rId2" Type="http://schemas.openxmlformats.org/officeDocument/2006/relationships/customXml" Target="../customXml/item2.xml"/><Relationship Id="rId16" Type="http://schemas.openxmlformats.org/officeDocument/2006/relationships/hyperlink" Target="http://fpsregs.org/images/admin/AllSMdiscretionsv2.pdf" TargetMode="External"/><Relationship Id="rId20" Type="http://schemas.openxmlformats.org/officeDocument/2006/relationships/hyperlink" Target="https://www.legislation.gov.uk/uksi/2006/1811/schedule/1/made" TargetMode="External"/><Relationship Id="rId29" Type="http://schemas.openxmlformats.org/officeDocument/2006/relationships/hyperlink" Target="http://fpsregs.org/images/admin/Data-score-weighting.xlsx" TargetMode="External"/><Relationship Id="rId41" Type="http://schemas.openxmlformats.org/officeDocument/2006/relationships/hyperlink" Target="https://www.gov.uk/hmrc-internal-manuals/pensions-tax-manual/ptm161100" TargetMode="External"/><Relationship Id="rId54"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legislation.gov.uk/ukpga/2004/35/contents" TargetMode="External"/><Relationship Id="rId32" Type="http://schemas.openxmlformats.org/officeDocument/2006/relationships/hyperlink" Target="https://www.thepensionsregulator.gov.uk/en/trustees/managing-db-benefits/governance-and-administration/record-keeping/review-your-scheme-data" TargetMode="External"/><Relationship Id="rId37" Type="http://schemas.openxmlformats.org/officeDocument/2006/relationships/hyperlink" Target="https://www.fpsregs.org/images/Factsheets/TPR-6-key-processes-factsheet-January-2021.pdf" TargetMode="External"/><Relationship Id="rId40" Type="http://schemas.openxmlformats.org/officeDocument/2006/relationships/hyperlink" Target="https://www.gov.uk/guidance/pension-administrators-reporting-to-hmrc" TargetMode="External"/><Relationship Id="rId45" Type="http://schemas.openxmlformats.org/officeDocument/2006/relationships/hyperlink" Target="http://www.fpsregs.org/images/admin/Disclosurev1.pdf" TargetMode="External"/><Relationship Id="rId53"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http://www.fpsboard.org/index.php/board-committees/administration-and-benchmarking" TargetMode="External"/><Relationship Id="rId23" Type="http://schemas.openxmlformats.org/officeDocument/2006/relationships/hyperlink" Target="http://www.thepensionsregulator.gov.uk/" TargetMode="External"/><Relationship Id="rId28" Type="http://schemas.openxmlformats.org/officeDocument/2006/relationships/hyperlink" Target="http://fpsregs.org/images/admin/TPR-data-scoring-2019-clean.pdf" TargetMode="External"/><Relationship Id="rId36" Type="http://schemas.openxmlformats.org/officeDocument/2006/relationships/hyperlink" Target="https://www.thepensionsregulator.gov.uk/en/public-service-pension-schemes/scheme-management/reporting-breaches-of-the-law" TargetMode="External"/><Relationship Id="rId49" Type="http://schemas.openxmlformats.org/officeDocument/2006/relationships/hyperlink" Target="http://www.fpsboard.org/index.php/local-pension-boards/training" TargetMode="External"/><Relationship Id="rId57"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legislation.gov.uk/uksi/2014/2848/regulation/163/made" TargetMode="External"/><Relationship Id="rId31" Type="http://schemas.openxmlformats.org/officeDocument/2006/relationships/hyperlink" Target="https://www.fpsregs.org/images/Factsheets/TPR-6-key-processes-factsheet-January-2021.pdf" TargetMode="External"/><Relationship Id="rId44" Type="http://schemas.openxmlformats.org/officeDocument/2006/relationships/hyperlink" Target="http://fpsregs.org/index.php/legal-landscape/general-data-protection-regulation-gdpr" TargetMode="External"/><Relationship Id="rId52"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fpsregs.org/images/admin/Schememanagerv1.pdf" TargetMode="External"/><Relationship Id="rId22" Type="http://schemas.openxmlformats.org/officeDocument/2006/relationships/hyperlink" Target="http://www.fpsregs.org/images/Factsheets/IDRP-factsheet.pdf" TargetMode="External"/><Relationship Id="rId27" Type="http://schemas.openxmlformats.org/officeDocument/2006/relationships/hyperlink" Target="http://fpsregs.org/images/Legal/TPR/2017CEBschemereturn.pdf" TargetMode="External"/><Relationship Id="rId30" Type="http://schemas.openxmlformats.org/officeDocument/2006/relationships/hyperlink" Target="http://fpsregs.org/index.php/legal-landscape/the-pensions-regulator-governance-and-administration-survey" TargetMode="External"/><Relationship Id="rId35" Type="http://schemas.openxmlformats.org/officeDocument/2006/relationships/hyperlink" Target="http://www.fpsboard.org/images/LPB/Resources/Breachassessment210119.docx" TargetMode="External"/><Relationship Id="rId43" Type="http://schemas.openxmlformats.org/officeDocument/2006/relationships/hyperlink" Target="https://www.gov.uk/hmrc-internal-manuals/pensions-tax-manual/ptm162100" TargetMode="External"/><Relationship Id="rId48" Type="http://schemas.openxmlformats.org/officeDocument/2006/relationships/hyperlink" Target="http://www.legislation.gov.uk/uksi/2015/465/regulation/4/made" TargetMode="External"/><Relationship Id="rId56"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hyperlink" Target="http://www.fpsboard.org/index.php/local-pension-boards/resources" TargetMode="External"/><Relationship Id="rId3"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3" Type="http://schemas.openxmlformats.org/officeDocument/2006/relationships/hyperlink" Target="http://www.legislation.gov.uk/uksi/2015/465/regulation/4/made" TargetMode="External"/><Relationship Id="rId7" Type="http://schemas.openxmlformats.org/officeDocument/2006/relationships/hyperlink" Target="https://www.legislation.gov.uk/uksi/2015/465/regulation/4/made" TargetMode="External"/><Relationship Id="rId2" Type="http://schemas.openxmlformats.org/officeDocument/2006/relationships/hyperlink" Target="https://www.legislation.gov.uk/uksi/2014/2848/regulation/5/made" TargetMode="External"/><Relationship Id="rId1" Type="http://schemas.openxmlformats.org/officeDocument/2006/relationships/hyperlink" Target="http://www.legislation.gov.uk/uksi/2014/2848/regulation/4/made" TargetMode="External"/><Relationship Id="rId6" Type="http://schemas.openxmlformats.org/officeDocument/2006/relationships/hyperlink" Target="https://www.legislation.gov.uk/uksi/2014/2848/regulation/5/made" TargetMode="External"/><Relationship Id="rId5" Type="http://schemas.openxmlformats.org/officeDocument/2006/relationships/hyperlink" Target="https://www.legislation.gov.uk/uksi/2014/2848/regulation/4/made" TargetMode="External"/><Relationship Id="rId4" Type="http://schemas.openxmlformats.org/officeDocument/2006/relationships/hyperlink" Target="http://www.fpsregs.org/images/Legal/TPO/TPOredressfactshee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23FD8AA0D8E5478582E35D905D5CB5" ma:contentTypeVersion="11" ma:contentTypeDescription="Create a new document." ma:contentTypeScope="" ma:versionID="bdeea48ea1b44394ebef00aeb4edb3bc">
  <xsd:schema xmlns:xsd="http://www.w3.org/2001/XMLSchema" xmlns:xs="http://www.w3.org/2001/XMLSchema" xmlns:p="http://schemas.microsoft.com/office/2006/metadata/properties" xmlns:ns2="1b3980e1-9f70-469d-8e06-8a0cb5697867" xmlns:ns3="4c0fc6d1-1ff6-4501-9111-f8704c4ff172" targetNamespace="http://schemas.microsoft.com/office/2006/metadata/properties" ma:root="true" ma:fieldsID="1660eae212b935e45fba4a4ce94a09ce" ns2:_="" ns3:_="">
    <xsd:import namespace="1b3980e1-9f70-469d-8e06-8a0cb5697867"/>
    <xsd:import namespace="4c0fc6d1-1ff6-4501-9111-f8704c4ff17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3980e1-9f70-469d-8e06-8a0cb56978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c0fc6d1-1ff6-4501-9111-f8704c4ff17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C62153B-4D59-4445-960C-634FE91F37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3980e1-9f70-469d-8e06-8a0cb5697867"/>
    <ds:schemaRef ds:uri="4c0fc6d1-1ff6-4501-9111-f8704c4ff1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A5F5B54-6A25-4E9E-93EC-202CCD1D2FCA}">
  <ds:schemaRefs>
    <ds:schemaRef ds:uri="http://schemas.microsoft.com/office/infopath/2007/PartnerControls"/>
    <ds:schemaRef ds:uri="http://purl.org/dc/elements/1.1/"/>
    <ds:schemaRef ds:uri="http://schemas.microsoft.com/office/2006/metadata/properties"/>
    <ds:schemaRef ds:uri="4c0fc6d1-1ff6-4501-9111-f8704c4ff172"/>
    <ds:schemaRef ds:uri="http://purl.org/dc/terms/"/>
    <ds:schemaRef ds:uri="http://schemas.openxmlformats.org/package/2006/metadata/core-properties"/>
    <ds:schemaRef ds:uri="http://schemas.microsoft.com/office/2006/documentManagement/types"/>
    <ds:schemaRef ds:uri="1b3980e1-9f70-469d-8e06-8a0cb5697867"/>
    <ds:schemaRef ds:uri="http://www.w3.org/XML/1998/namespace"/>
    <ds:schemaRef ds:uri="http://purl.org/dc/dcmitype/"/>
  </ds:schemaRefs>
</ds:datastoreItem>
</file>

<file path=customXml/itemProps3.xml><?xml version="1.0" encoding="utf-8"?>
<ds:datastoreItem xmlns:ds="http://schemas.openxmlformats.org/officeDocument/2006/customXml" ds:itemID="{61C01395-BC8C-4F39-9E38-27F8FCFA18F2}">
  <ds:schemaRefs>
    <ds:schemaRef ds:uri="http://schemas.openxmlformats.org/officeDocument/2006/bibliography"/>
  </ds:schemaRefs>
</ds:datastoreItem>
</file>

<file path=customXml/itemProps4.xml><?xml version="1.0" encoding="utf-8"?>
<ds:datastoreItem xmlns:ds="http://schemas.openxmlformats.org/officeDocument/2006/customXml" ds:itemID="{1770D128-F589-4D42-B615-BA3FF5F2E60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24</Pages>
  <Words>7394</Words>
  <Characters>42147</Characters>
  <Application>Microsoft Office Word</Application>
  <DocSecurity>0</DocSecurity>
  <Lines>351</Lines>
  <Paragraphs>98</Paragraphs>
  <ScaleCrop>false</ScaleCrop>
  <HeadingPairs>
    <vt:vector size="2" baseType="variant">
      <vt:variant>
        <vt:lpstr>Title</vt:lpstr>
      </vt:variant>
      <vt:variant>
        <vt:i4>1</vt:i4>
      </vt:variant>
    </vt:vector>
  </HeadingPairs>
  <TitlesOfParts>
    <vt:vector size="1" baseType="lpstr">
      <vt:lpstr>Draft FPS administration strategy</vt:lpstr>
    </vt:vector>
  </TitlesOfParts>
  <Company>Staffordshire County Council</Company>
  <LinksUpToDate>false</LinksUpToDate>
  <CharactersWithSpaces>49443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FPS administration strategy - clean</dc:title>
  <dc:subject/>
  <dc:creator>Eunice Heaney</dc:creator>
  <cp:keywords/>
  <cp:lastModifiedBy>Claire Hey</cp:lastModifiedBy>
  <cp:revision>10</cp:revision>
  <cp:lastPrinted>2020-06-30T08:31:00Z</cp:lastPrinted>
  <dcterms:created xsi:type="dcterms:W3CDTF">2021-07-25T14:03:00Z</dcterms:created>
  <dcterms:modified xsi:type="dcterms:W3CDTF">2021-07-25T14:14:00Z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0x010100EF23FD8AA0D8E5478582E35D905D5CB5</vt:lpwstr>
  </property>
</Properties>
</file>