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A592" w14:textId="2539A27E" w:rsidR="000105BE" w:rsidRDefault="0061528E" w:rsidP="00A40C70">
      <w:pPr>
        <w:pStyle w:val="Heading1"/>
      </w:pPr>
      <w:r w:rsidRPr="0061528E">
        <w:rPr>
          <w:noProof/>
          <w:lang w:eastAsia="en-GB"/>
        </w:rPr>
        <w:drawing>
          <wp:inline distT="0" distB="0" distL="0" distR="0" wp14:anchorId="35EA0CB2" wp14:editId="35AFF5D6">
            <wp:extent cx="2888733" cy="876300"/>
            <wp:effectExtent l="0" t="0" r="6985" b="0"/>
            <wp:docPr id="2" name="Picture 2" descr="Firefighters' Pensions England Scheme Advisory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Firefighters\Scheme Advisory Board\Logos\New logos\FPE_colou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170" cy="891903"/>
                    </a:xfrm>
                    <a:prstGeom prst="rect">
                      <a:avLst/>
                    </a:prstGeom>
                    <a:noFill/>
                    <a:ln>
                      <a:noFill/>
                    </a:ln>
                  </pic:spPr>
                </pic:pic>
              </a:graphicData>
            </a:graphic>
          </wp:inline>
        </w:drawing>
      </w:r>
      <w:r w:rsidR="009C0340">
        <w:t xml:space="preserve">                                 </w:t>
      </w:r>
      <w:r w:rsidR="009C0340">
        <w:rPr>
          <w:noProof/>
          <w:lang w:eastAsia="en-GB"/>
        </w:rPr>
        <w:drawing>
          <wp:inline distT="0" distB="0" distL="0" distR="0" wp14:anchorId="3DAFF29E" wp14:editId="13D68D76">
            <wp:extent cx="1295400" cy="790575"/>
            <wp:effectExtent l="0" t="0" r="0" b="9525"/>
            <wp:docPr id="4" name="Picture 4" descr="L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hey\Pictures\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inline>
        </w:drawing>
      </w:r>
    </w:p>
    <w:p w14:paraId="264EA3E2" w14:textId="476B8C4F" w:rsidR="00E562E3" w:rsidRDefault="00E562E3" w:rsidP="00E562E3">
      <w:pPr>
        <w:rPr>
          <w:rFonts w:ascii="Impact" w:hAnsi="Impact" w:cs="Impact"/>
          <w:color w:val="34A161"/>
          <w:sz w:val="38"/>
          <w:szCs w:val="38"/>
        </w:rPr>
      </w:pPr>
      <w:r>
        <w:rPr>
          <w:noProof/>
          <w:lang w:eastAsia="en-GB"/>
        </w:rPr>
        <w:drawing>
          <wp:inline distT="0" distB="0" distL="0" distR="0" wp14:anchorId="4170FAB4" wp14:editId="6094CC39">
            <wp:extent cx="228600" cy="228600"/>
            <wp:effectExtent l="0" t="0" r="0" b="0"/>
            <wp:docPr id="3" name="Picture 3" descr="Firefighters Pension England_SAB_Green Bulle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fighters Pension England_SAB_Green Bullet Poi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Impact" w:hAnsi="Impact" w:cs="Impact"/>
          <w:color w:val="36DE2B"/>
          <w:sz w:val="38"/>
          <w:szCs w:val="38"/>
        </w:rPr>
        <w:t xml:space="preserve"> </w:t>
      </w:r>
      <w:r w:rsidRPr="001E47C1">
        <w:rPr>
          <w:rFonts w:ascii="Impact" w:hAnsi="Impact" w:cs="Impact"/>
          <w:color w:val="34A161"/>
          <w:sz w:val="38"/>
          <w:szCs w:val="38"/>
        </w:rPr>
        <w:t>Information</w:t>
      </w:r>
    </w:p>
    <w:p w14:paraId="7ABF9FAC" w14:textId="77777777" w:rsidR="00E562E3" w:rsidRPr="00E562E3" w:rsidRDefault="00E562E3" w:rsidP="00E562E3">
      <w:pPr>
        <w:rPr>
          <w:rFonts w:ascii="Impact" w:hAnsi="Impact"/>
          <w:color w:val="244A9A"/>
          <w:sz w:val="16"/>
        </w:rPr>
      </w:pPr>
    </w:p>
    <w:p w14:paraId="2BC2FE20" w14:textId="03781292" w:rsidR="007E6E9A" w:rsidRDefault="007E6E9A" w:rsidP="007E6E9A">
      <w:pPr>
        <w:jc w:val="center"/>
        <w:rPr>
          <w:rFonts w:ascii="Impact" w:hAnsi="Impact"/>
          <w:color w:val="34A161"/>
          <w:sz w:val="48"/>
        </w:rPr>
      </w:pPr>
      <w:r w:rsidRPr="007E6E9A">
        <w:rPr>
          <w:rFonts w:ascii="Impact" w:hAnsi="Impact"/>
          <w:color w:val="34A161"/>
          <w:sz w:val="48"/>
        </w:rPr>
        <w:t xml:space="preserve">Pensions Taxation - </w:t>
      </w:r>
      <w:r w:rsidR="00E62860">
        <w:rPr>
          <w:rFonts w:ascii="Impact" w:hAnsi="Impact"/>
          <w:color w:val="34A161"/>
          <w:sz w:val="48"/>
        </w:rPr>
        <w:t>Lifetime</w:t>
      </w:r>
      <w:r w:rsidRPr="007E6E9A">
        <w:rPr>
          <w:rFonts w:ascii="Impact" w:hAnsi="Impact"/>
          <w:color w:val="34A161"/>
          <w:sz w:val="48"/>
        </w:rPr>
        <w:t xml:space="preserve"> Allowance</w:t>
      </w:r>
    </w:p>
    <w:p w14:paraId="650F7E7D" w14:textId="5336107F" w:rsidR="00E62860" w:rsidRPr="001F332C" w:rsidRDefault="00E62860" w:rsidP="001F332C">
      <w:pPr>
        <w:autoSpaceDE w:val="0"/>
        <w:autoSpaceDN w:val="0"/>
        <w:adjustRightInd w:val="0"/>
        <w:spacing w:after="0" w:line="240" w:lineRule="auto"/>
        <w:rPr>
          <w:rFonts w:ascii="Arial" w:eastAsia="Calibri" w:hAnsi="Arial" w:cs="Arial"/>
          <w:color w:val="000000"/>
          <w:sz w:val="24"/>
          <w:szCs w:val="23"/>
        </w:rPr>
      </w:pPr>
      <w:r w:rsidRPr="001F332C">
        <w:rPr>
          <w:rFonts w:ascii="Arial" w:eastAsia="Calibri" w:hAnsi="Arial" w:cs="Arial"/>
          <w:color w:val="000000"/>
          <w:sz w:val="24"/>
          <w:szCs w:val="23"/>
        </w:rPr>
        <w:t>HM Revenue and Customs</w:t>
      </w:r>
      <w:r w:rsidR="006A729A">
        <w:rPr>
          <w:rFonts w:ascii="Arial" w:eastAsia="Calibri" w:hAnsi="Arial" w:cs="Arial"/>
          <w:color w:val="000000"/>
          <w:sz w:val="24"/>
          <w:szCs w:val="23"/>
        </w:rPr>
        <w:t xml:space="preserve"> (HMRC)</w:t>
      </w:r>
      <w:r w:rsidRPr="001F332C">
        <w:rPr>
          <w:rFonts w:ascii="Arial" w:eastAsia="Calibri" w:hAnsi="Arial" w:cs="Arial"/>
          <w:color w:val="000000"/>
          <w:sz w:val="24"/>
          <w:szCs w:val="23"/>
        </w:rPr>
        <w:t xml:space="preserve"> impose two controls on the amount of pension savings you can make without having to pay extra tax. These controls are known as the Annual Allowance and Lifetime Allowance. This is in addition to any income tax you pay on your pension once it is in payment.</w:t>
      </w:r>
    </w:p>
    <w:p w14:paraId="1E745BA0" w14:textId="77777777" w:rsidR="00E62860" w:rsidRPr="001F332C" w:rsidRDefault="00E62860" w:rsidP="001F332C">
      <w:pPr>
        <w:autoSpaceDE w:val="0"/>
        <w:autoSpaceDN w:val="0"/>
        <w:adjustRightInd w:val="0"/>
        <w:spacing w:after="0" w:line="240" w:lineRule="auto"/>
        <w:rPr>
          <w:rFonts w:ascii="Arial" w:eastAsia="Calibri" w:hAnsi="Arial" w:cs="Arial"/>
          <w:color w:val="000000"/>
          <w:sz w:val="24"/>
          <w:szCs w:val="23"/>
        </w:rPr>
      </w:pPr>
    </w:p>
    <w:p w14:paraId="70EBD746" w14:textId="77777777" w:rsidR="00E62860" w:rsidRPr="001F332C" w:rsidRDefault="00E62860" w:rsidP="001F332C">
      <w:pPr>
        <w:autoSpaceDE w:val="0"/>
        <w:autoSpaceDN w:val="0"/>
        <w:adjustRightInd w:val="0"/>
        <w:spacing w:after="0" w:line="240" w:lineRule="auto"/>
        <w:rPr>
          <w:rFonts w:ascii="Arial" w:eastAsia="Calibri" w:hAnsi="Arial" w:cs="Arial"/>
          <w:color w:val="000000"/>
          <w:sz w:val="24"/>
          <w:szCs w:val="23"/>
        </w:rPr>
      </w:pPr>
      <w:r w:rsidRPr="001F332C">
        <w:rPr>
          <w:rFonts w:ascii="Arial" w:eastAsia="Calibri" w:hAnsi="Arial" w:cs="Arial"/>
          <w:color w:val="000000"/>
          <w:sz w:val="24"/>
          <w:szCs w:val="23"/>
        </w:rPr>
        <w:t>This factsheet looks at the Lifetime Allowance (LTA), which is the total value of all pension benefits you can have without triggering an excess benefits tax charge.</w:t>
      </w:r>
    </w:p>
    <w:p w14:paraId="22AE8394" w14:textId="77777777" w:rsidR="00E62860" w:rsidRPr="001F332C" w:rsidRDefault="00E62860" w:rsidP="001F332C">
      <w:pPr>
        <w:autoSpaceDE w:val="0"/>
        <w:autoSpaceDN w:val="0"/>
        <w:adjustRightInd w:val="0"/>
        <w:spacing w:after="0" w:line="240" w:lineRule="auto"/>
        <w:rPr>
          <w:rFonts w:ascii="Arial" w:eastAsia="Calibri" w:hAnsi="Arial" w:cs="Arial"/>
          <w:color w:val="000000"/>
          <w:sz w:val="24"/>
          <w:szCs w:val="23"/>
        </w:rPr>
      </w:pPr>
    </w:p>
    <w:p w14:paraId="5990714F" w14:textId="33C194C6" w:rsidR="007E6E9A" w:rsidRDefault="00E62860" w:rsidP="00335B61">
      <w:pPr>
        <w:autoSpaceDE w:val="0"/>
        <w:autoSpaceDN w:val="0"/>
        <w:adjustRightInd w:val="0"/>
        <w:spacing w:after="0" w:line="240" w:lineRule="auto"/>
        <w:rPr>
          <w:rFonts w:ascii="Arial" w:eastAsia="Calibri" w:hAnsi="Arial" w:cs="Arial"/>
          <w:color w:val="000000"/>
          <w:sz w:val="24"/>
          <w:szCs w:val="23"/>
        </w:rPr>
      </w:pPr>
      <w:r w:rsidRPr="001F332C">
        <w:rPr>
          <w:rFonts w:ascii="Arial" w:eastAsia="Calibri" w:hAnsi="Arial" w:cs="Arial"/>
          <w:color w:val="000000"/>
          <w:sz w:val="24"/>
          <w:szCs w:val="23"/>
        </w:rPr>
        <w:t xml:space="preserve">For information on the Annual Allowance (AA) please refer to the Annual Allowance factsheet </w:t>
      </w:r>
      <w:r w:rsidRPr="001F332C">
        <w:rPr>
          <w:rFonts w:ascii="Arial" w:eastAsia="Calibri" w:hAnsi="Arial" w:cs="Arial"/>
          <w:color w:val="000000"/>
          <w:sz w:val="24"/>
          <w:szCs w:val="23"/>
          <w:highlight w:val="yellow"/>
        </w:rPr>
        <w:t>[</w:t>
      </w:r>
      <w:r w:rsidR="00270F59" w:rsidRPr="001F332C">
        <w:rPr>
          <w:rFonts w:ascii="Arial" w:eastAsia="Calibri" w:hAnsi="Arial" w:cs="Arial"/>
          <w:color w:val="000000"/>
          <w:sz w:val="24"/>
          <w:szCs w:val="23"/>
          <w:highlight w:val="yellow"/>
        </w:rPr>
        <w:t xml:space="preserve">ENTER </w:t>
      </w:r>
      <w:r w:rsidRPr="001F332C">
        <w:rPr>
          <w:rFonts w:ascii="Arial" w:eastAsia="Calibri" w:hAnsi="Arial" w:cs="Arial"/>
          <w:color w:val="000000"/>
          <w:sz w:val="24"/>
          <w:szCs w:val="23"/>
          <w:highlight w:val="yellow"/>
        </w:rPr>
        <w:t>LINK]</w:t>
      </w:r>
      <w:r w:rsidR="007E6E9A" w:rsidRPr="001F332C">
        <w:rPr>
          <w:rFonts w:ascii="Arial" w:eastAsia="Calibri" w:hAnsi="Arial" w:cs="Arial"/>
          <w:color w:val="000000"/>
          <w:sz w:val="24"/>
          <w:szCs w:val="23"/>
        </w:rPr>
        <w:t>.</w:t>
      </w:r>
    </w:p>
    <w:p w14:paraId="247551DD" w14:textId="77777777" w:rsidR="004B716A" w:rsidRPr="00335B61" w:rsidRDefault="004B716A" w:rsidP="00335B61">
      <w:pPr>
        <w:autoSpaceDE w:val="0"/>
        <w:autoSpaceDN w:val="0"/>
        <w:adjustRightInd w:val="0"/>
        <w:spacing w:after="0" w:line="240" w:lineRule="auto"/>
        <w:rPr>
          <w:rFonts w:ascii="Arial" w:eastAsia="Calibri" w:hAnsi="Arial" w:cs="Arial"/>
          <w:color w:val="000000"/>
          <w:sz w:val="24"/>
          <w:szCs w:val="23"/>
        </w:rPr>
      </w:pPr>
    </w:p>
    <w:p w14:paraId="639E185D" w14:textId="77777777" w:rsidR="00E62860" w:rsidRDefault="00E62860" w:rsidP="00A40C70">
      <w:pPr>
        <w:pStyle w:val="Heading1"/>
      </w:pPr>
      <w:r w:rsidRPr="00E62860">
        <w:t xml:space="preserve">What is the Lifetime Allowance? </w:t>
      </w:r>
    </w:p>
    <w:p w14:paraId="49660E65" w14:textId="1849F9A3" w:rsidR="00E62860" w:rsidRPr="001F332C" w:rsidRDefault="00E62860" w:rsidP="001F332C">
      <w:pPr>
        <w:pStyle w:val="Default"/>
        <w:rPr>
          <w:color w:val="auto"/>
          <w:szCs w:val="22"/>
        </w:rPr>
      </w:pPr>
      <w:r w:rsidRPr="001F332C">
        <w:rPr>
          <w:color w:val="auto"/>
          <w:szCs w:val="22"/>
        </w:rPr>
        <w:t xml:space="preserve">The </w:t>
      </w:r>
      <w:r w:rsidR="00A40C70" w:rsidRPr="001F332C">
        <w:rPr>
          <w:color w:val="auto"/>
          <w:szCs w:val="22"/>
        </w:rPr>
        <w:t>LTA</w:t>
      </w:r>
      <w:r w:rsidRPr="001F332C">
        <w:rPr>
          <w:color w:val="auto"/>
          <w:szCs w:val="22"/>
        </w:rPr>
        <w:t xml:space="preserve"> is the total value of all pension benefits you can have without triggering an excess benefits tax charge. If the value of your pension benefits when you draw them (not including any state retirement pension, pension credit or any partner's or dependant's pension you may be entitled to) is more than the </w:t>
      </w:r>
      <w:r w:rsidR="006A729A">
        <w:rPr>
          <w:color w:val="auto"/>
          <w:szCs w:val="22"/>
        </w:rPr>
        <w:t>LTA</w:t>
      </w:r>
      <w:r w:rsidRPr="001F332C">
        <w:rPr>
          <w:color w:val="auto"/>
          <w:szCs w:val="22"/>
        </w:rPr>
        <w:t>, or more than any protections you may have, you will have to pay tax on the excess benefits.</w:t>
      </w:r>
    </w:p>
    <w:p w14:paraId="6B43269C" w14:textId="77777777" w:rsidR="00E62860" w:rsidRPr="001F332C" w:rsidRDefault="00E62860" w:rsidP="001F332C">
      <w:pPr>
        <w:pStyle w:val="Default"/>
        <w:rPr>
          <w:color w:val="auto"/>
          <w:szCs w:val="22"/>
        </w:rPr>
      </w:pPr>
    </w:p>
    <w:p w14:paraId="0A2D1A6C" w14:textId="3260BB52" w:rsidR="00E62860" w:rsidRPr="001F332C" w:rsidRDefault="00E62860" w:rsidP="001F332C">
      <w:pPr>
        <w:pStyle w:val="Default"/>
        <w:rPr>
          <w:color w:val="auto"/>
          <w:szCs w:val="22"/>
        </w:rPr>
      </w:pPr>
      <w:r w:rsidRPr="001F332C">
        <w:rPr>
          <w:color w:val="auto"/>
          <w:szCs w:val="22"/>
        </w:rPr>
        <w:t xml:space="preserve">The </w:t>
      </w:r>
      <w:r w:rsidR="00A40C70" w:rsidRPr="001F332C">
        <w:rPr>
          <w:color w:val="auto"/>
          <w:szCs w:val="22"/>
        </w:rPr>
        <w:t>LTA</w:t>
      </w:r>
      <w:r w:rsidRPr="001F332C">
        <w:rPr>
          <w:color w:val="auto"/>
          <w:szCs w:val="22"/>
        </w:rPr>
        <w:t xml:space="preserve"> covers any pension benefits you may have in all tax-registered pension arrangements - not just the Firefighters</w:t>
      </w:r>
      <w:r w:rsidR="00A40C70" w:rsidRPr="001F332C">
        <w:rPr>
          <w:color w:val="auto"/>
          <w:szCs w:val="22"/>
        </w:rPr>
        <w:t>’</w:t>
      </w:r>
      <w:r w:rsidRPr="001F332C">
        <w:rPr>
          <w:color w:val="auto"/>
          <w:szCs w:val="22"/>
        </w:rPr>
        <w:t xml:space="preserve"> Pension Schemes (FPS).</w:t>
      </w:r>
    </w:p>
    <w:p w14:paraId="7F5B5C80" w14:textId="77777777" w:rsidR="00E62860" w:rsidRPr="001F332C" w:rsidRDefault="00E62860" w:rsidP="001F332C">
      <w:pPr>
        <w:pStyle w:val="Default"/>
        <w:rPr>
          <w:color w:val="auto"/>
          <w:szCs w:val="22"/>
        </w:rPr>
      </w:pPr>
    </w:p>
    <w:p w14:paraId="6EF88E56" w14:textId="5D146DED" w:rsidR="00E62860" w:rsidRPr="001F332C" w:rsidRDefault="00E62860" w:rsidP="001F332C">
      <w:pPr>
        <w:pStyle w:val="Default"/>
        <w:rPr>
          <w:color w:val="auto"/>
          <w:szCs w:val="22"/>
        </w:rPr>
      </w:pPr>
      <w:r w:rsidRPr="001F332C">
        <w:rPr>
          <w:color w:val="auto"/>
          <w:szCs w:val="22"/>
        </w:rPr>
        <w:t xml:space="preserve">The </w:t>
      </w:r>
      <w:r w:rsidR="003876D3">
        <w:rPr>
          <w:color w:val="auto"/>
          <w:szCs w:val="22"/>
        </w:rPr>
        <w:t>LTA</w:t>
      </w:r>
      <w:r w:rsidRPr="001F332C">
        <w:rPr>
          <w:color w:val="auto"/>
          <w:szCs w:val="22"/>
        </w:rPr>
        <w:t xml:space="preserve"> was introduced in 2006 and was reduced in 2012, 2014 and again in 2016. Each time the </w:t>
      </w:r>
      <w:r w:rsidR="003876D3">
        <w:rPr>
          <w:color w:val="auto"/>
          <w:szCs w:val="22"/>
        </w:rPr>
        <w:t>LTA</w:t>
      </w:r>
      <w:r w:rsidRPr="001F332C">
        <w:rPr>
          <w:color w:val="auto"/>
          <w:szCs w:val="22"/>
        </w:rPr>
        <w:t xml:space="preserve"> reduced, if you had already planned your pension savings on the basis of the higher </w:t>
      </w:r>
      <w:r w:rsidR="003876D3">
        <w:rPr>
          <w:color w:val="auto"/>
          <w:szCs w:val="22"/>
        </w:rPr>
        <w:t>LTA</w:t>
      </w:r>
      <w:r w:rsidRPr="001F332C">
        <w:rPr>
          <w:color w:val="auto"/>
          <w:szCs w:val="22"/>
        </w:rPr>
        <w:t xml:space="preserve">, you have been able to protect your pension savings by applying to HMRC for </w:t>
      </w:r>
      <w:r w:rsidR="003876D3">
        <w:rPr>
          <w:color w:val="auto"/>
          <w:szCs w:val="22"/>
        </w:rPr>
        <w:t>LTA</w:t>
      </w:r>
      <w:r w:rsidRPr="001F332C">
        <w:rPr>
          <w:color w:val="auto"/>
          <w:szCs w:val="22"/>
        </w:rPr>
        <w:t xml:space="preserve"> protection. These </w:t>
      </w:r>
      <w:hyperlink w:anchor="_Changes_to_the" w:history="1">
        <w:r w:rsidRPr="001F332C">
          <w:rPr>
            <w:rStyle w:val="Hyperlink"/>
            <w:szCs w:val="22"/>
          </w:rPr>
          <w:t>protections</w:t>
        </w:r>
      </w:hyperlink>
      <w:r w:rsidRPr="001F332C">
        <w:rPr>
          <w:color w:val="auto"/>
          <w:szCs w:val="22"/>
        </w:rPr>
        <w:t xml:space="preserve"> are covered in more detail later in this factsheet.</w:t>
      </w:r>
    </w:p>
    <w:p w14:paraId="5079728D" w14:textId="6E827997" w:rsidR="00E62860" w:rsidRPr="001F332C" w:rsidRDefault="00E62860" w:rsidP="001F332C">
      <w:pPr>
        <w:pStyle w:val="Default"/>
        <w:tabs>
          <w:tab w:val="left" w:pos="8160"/>
        </w:tabs>
        <w:rPr>
          <w:color w:val="auto"/>
          <w:szCs w:val="22"/>
        </w:rPr>
      </w:pPr>
      <w:r w:rsidRPr="001F332C">
        <w:rPr>
          <w:color w:val="auto"/>
          <w:szCs w:val="22"/>
        </w:rPr>
        <w:tab/>
      </w:r>
    </w:p>
    <w:p w14:paraId="4AD9A006" w14:textId="2A7FB3E8" w:rsidR="008F57CD" w:rsidRPr="001F332C" w:rsidRDefault="00E62860" w:rsidP="001F332C">
      <w:pPr>
        <w:pStyle w:val="Default"/>
        <w:rPr>
          <w:color w:val="auto"/>
          <w:szCs w:val="22"/>
        </w:rPr>
      </w:pPr>
      <w:r w:rsidRPr="001F332C">
        <w:rPr>
          <w:color w:val="auto"/>
          <w:szCs w:val="22"/>
        </w:rPr>
        <w:t xml:space="preserve">The </w:t>
      </w:r>
      <w:r w:rsidR="00D94139">
        <w:rPr>
          <w:color w:val="auto"/>
          <w:szCs w:val="22"/>
        </w:rPr>
        <w:t>LTA</w:t>
      </w:r>
      <w:r w:rsidRPr="001F332C">
        <w:rPr>
          <w:color w:val="auto"/>
          <w:szCs w:val="22"/>
        </w:rPr>
        <w:t xml:space="preserve"> has been steadily reducing from 2012/13 but has been increased in line with inflation from 2018 onwards.</w:t>
      </w:r>
    </w:p>
    <w:p w14:paraId="5667BEB2" w14:textId="77777777" w:rsidR="00E62860" w:rsidRDefault="00E62860" w:rsidP="00E62860">
      <w:pPr>
        <w:pStyle w:val="Default"/>
        <w:jc w:val="both"/>
        <w:rPr>
          <w:color w:val="auto"/>
          <w:sz w:val="22"/>
          <w:szCs w:val="22"/>
        </w:rPr>
      </w:pPr>
    </w:p>
    <w:p w14:paraId="650B8E26" w14:textId="77777777" w:rsidR="00E62860" w:rsidRDefault="00E62860" w:rsidP="00E62860">
      <w:pPr>
        <w:pStyle w:val="Default"/>
        <w:jc w:val="both"/>
        <w:rPr>
          <w:color w:val="auto"/>
          <w:sz w:val="22"/>
          <w:szCs w:val="22"/>
        </w:rPr>
      </w:pPr>
    </w:p>
    <w:p w14:paraId="07593FB2" w14:textId="77777777" w:rsidR="00E62860" w:rsidRDefault="00E62860" w:rsidP="00E62860">
      <w:pPr>
        <w:pStyle w:val="Default"/>
        <w:jc w:val="both"/>
        <w:rPr>
          <w:color w:val="auto"/>
          <w:sz w:val="22"/>
          <w:szCs w:val="22"/>
        </w:rPr>
      </w:pPr>
    </w:p>
    <w:p w14:paraId="05ED34C2" w14:textId="77777777" w:rsidR="00E62860" w:rsidRDefault="00E62860" w:rsidP="00E62860">
      <w:pPr>
        <w:pStyle w:val="Default"/>
        <w:jc w:val="both"/>
        <w:rPr>
          <w:color w:val="auto"/>
          <w:sz w:val="22"/>
          <w:szCs w:val="22"/>
        </w:rPr>
      </w:pPr>
    </w:p>
    <w:p w14:paraId="0D06C254" w14:textId="77777777" w:rsidR="00820635" w:rsidRDefault="00820635" w:rsidP="00E62860">
      <w:pPr>
        <w:pStyle w:val="Default"/>
        <w:jc w:val="both"/>
        <w:rPr>
          <w:color w:val="auto"/>
          <w:sz w:val="22"/>
          <w:szCs w:val="22"/>
        </w:rPr>
      </w:pPr>
    </w:p>
    <w:p w14:paraId="780DA694" w14:textId="77777777" w:rsidR="00E62860" w:rsidRDefault="00E62860" w:rsidP="00E62860">
      <w:pPr>
        <w:pStyle w:val="Default"/>
        <w:jc w:val="both"/>
        <w:rPr>
          <w:color w:val="auto"/>
          <w:sz w:val="22"/>
          <w:szCs w:val="22"/>
        </w:rPr>
      </w:pPr>
    </w:p>
    <w:p w14:paraId="3EBC6D22" w14:textId="77777777" w:rsidR="00E62860" w:rsidRDefault="00E62860" w:rsidP="00E62860">
      <w:pPr>
        <w:pStyle w:val="Default"/>
        <w:jc w:val="both"/>
        <w:rPr>
          <w:color w:val="auto"/>
          <w:sz w:val="22"/>
          <w:szCs w:val="22"/>
        </w:rPr>
      </w:pPr>
    </w:p>
    <w:p w14:paraId="5DB38472" w14:textId="2CD6E288" w:rsidR="0052235D" w:rsidRDefault="0052235D">
      <w:pPr>
        <w:rPr>
          <w:rFonts w:ascii="Arial" w:hAnsi="Arial"/>
          <w:iCs/>
        </w:rPr>
      </w:pPr>
      <w:r>
        <w:br w:type="page"/>
      </w:r>
    </w:p>
    <w:p w14:paraId="5BDD0F36" w14:textId="27274C3C" w:rsidR="00034ABC" w:rsidRPr="005A54A4" w:rsidRDefault="00034ABC" w:rsidP="00034ABC">
      <w:pPr>
        <w:pStyle w:val="Caption"/>
      </w:pPr>
      <w:r w:rsidRPr="00A13216">
        <w:lastRenderedPageBreak/>
        <w:t>Ta</w:t>
      </w:r>
      <w:r>
        <w:t>b</w:t>
      </w:r>
      <w:r w:rsidRPr="00A13216">
        <w:t xml:space="preserve">le </w:t>
      </w:r>
      <w:r w:rsidRPr="005A54A4">
        <w:fldChar w:fldCharType="begin"/>
      </w:r>
      <w:r w:rsidRPr="00293B4D">
        <w:instrText xml:space="preserve"> SEQ Table \* ARABIC </w:instrText>
      </w:r>
      <w:r w:rsidRPr="005A54A4">
        <w:fldChar w:fldCharType="separate"/>
      </w:r>
      <w:r>
        <w:rPr>
          <w:noProof/>
        </w:rPr>
        <w:t>1</w:t>
      </w:r>
      <w:r w:rsidRPr="005A54A4">
        <w:fldChar w:fldCharType="end"/>
      </w:r>
      <w:r w:rsidRPr="005A54A4">
        <w:t xml:space="preserve">: </w:t>
      </w:r>
      <w:r>
        <w:t>LTA</w:t>
      </w:r>
      <w:r w:rsidRPr="005A54A4">
        <w:t xml:space="preserve"> limits from 2011</w:t>
      </w:r>
    </w:p>
    <w:tbl>
      <w:tblPr>
        <w:tblStyle w:val="GridTable4-Accent6"/>
        <w:tblW w:w="0" w:type="auto"/>
        <w:tblLayout w:type="fixed"/>
        <w:tblLook w:val="0420" w:firstRow="1" w:lastRow="0" w:firstColumn="0" w:lastColumn="0" w:noHBand="0" w:noVBand="1"/>
      </w:tblPr>
      <w:tblGrid>
        <w:gridCol w:w="5065"/>
        <w:gridCol w:w="4536"/>
      </w:tblGrid>
      <w:tr w:rsidR="00E62860" w14:paraId="5484C6B4" w14:textId="77777777" w:rsidTr="00E62860">
        <w:trPr>
          <w:cnfStyle w:val="100000000000" w:firstRow="1" w:lastRow="0" w:firstColumn="0" w:lastColumn="0" w:oddVBand="0" w:evenVBand="0" w:oddHBand="0" w:evenHBand="0" w:firstRowFirstColumn="0" w:firstRowLastColumn="0" w:lastRowFirstColumn="0" w:lastRowLastColumn="0"/>
          <w:trHeight w:val="112"/>
        </w:trPr>
        <w:tc>
          <w:tcPr>
            <w:tcW w:w="5065" w:type="dxa"/>
          </w:tcPr>
          <w:p w14:paraId="216994DA" w14:textId="77777777" w:rsidR="00E62860" w:rsidRPr="002778E8" w:rsidRDefault="00E62860" w:rsidP="006460F8">
            <w:pPr>
              <w:pStyle w:val="Default"/>
              <w:spacing w:before="20" w:after="20"/>
              <w:jc w:val="center"/>
              <w:rPr>
                <w:color w:val="FFFFFF" w:themeColor="background1"/>
                <w:sz w:val="23"/>
                <w:szCs w:val="23"/>
              </w:rPr>
            </w:pPr>
            <w:r w:rsidRPr="005A44B5">
              <w:rPr>
                <w:color w:val="auto"/>
                <w:sz w:val="23"/>
                <w:szCs w:val="23"/>
              </w:rPr>
              <w:t>Tax Year</w:t>
            </w:r>
          </w:p>
        </w:tc>
        <w:tc>
          <w:tcPr>
            <w:tcW w:w="4536" w:type="dxa"/>
          </w:tcPr>
          <w:p w14:paraId="6A803BD8" w14:textId="77A1D087" w:rsidR="00E62860" w:rsidRPr="002778E8" w:rsidRDefault="00A40C70" w:rsidP="006460F8">
            <w:pPr>
              <w:pStyle w:val="Default"/>
              <w:spacing w:before="20" w:after="20"/>
              <w:jc w:val="center"/>
              <w:rPr>
                <w:color w:val="FFFFFF" w:themeColor="background1"/>
                <w:sz w:val="23"/>
                <w:szCs w:val="23"/>
              </w:rPr>
            </w:pPr>
            <w:r w:rsidRPr="005A44B5">
              <w:rPr>
                <w:color w:val="auto"/>
                <w:sz w:val="23"/>
                <w:szCs w:val="23"/>
              </w:rPr>
              <w:t>Lifetime</w:t>
            </w:r>
            <w:r w:rsidR="00E62860" w:rsidRPr="005A44B5">
              <w:rPr>
                <w:color w:val="auto"/>
                <w:sz w:val="23"/>
                <w:szCs w:val="23"/>
              </w:rPr>
              <w:t xml:space="preserve"> Allowance</w:t>
            </w:r>
          </w:p>
        </w:tc>
      </w:tr>
      <w:tr w:rsidR="00E62860" w14:paraId="1F7E7D1B"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04C7BD30" w14:textId="05CA81B4" w:rsidR="00E62860" w:rsidRDefault="00E62860" w:rsidP="006460F8">
            <w:pPr>
              <w:pStyle w:val="Default"/>
              <w:spacing w:before="20" w:after="20"/>
              <w:jc w:val="center"/>
              <w:rPr>
                <w:sz w:val="23"/>
                <w:szCs w:val="23"/>
              </w:rPr>
            </w:pPr>
            <w:r>
              <w:rPr>
                <w:sz w:val="23"/>
                <w:szCs w:val="23"/>
              </w:rPr>
              <w:t>2011</w:t>
            </w:r>
            <w:r w:rsidR="00034ABC">
              <w:rPr>
                <w:sz w:val="23"/>
                <w:szCs w:val="23"/>
              </w:rPr>
              <w:t>-</w:t>
            </w:r>
            <w:r>
              <w:rPr>
                <w:sz w:val="23"/>
                <w:szCs w:val="23"/>
              </w:rPr>
              <w:t>12</w:t>
            </w:r>
          </w:p>
        </w:tc>
        <w:tc>
          <w:tcPr>
            <w:tcW w:w="4536" w:type="dxa"/>
          </w:tcPr>
          <w:p w14:paraId="7DB18D16" w14:textId="29B4CBCE" w:rsidR="00E62860" w:rsidRPr="006D00CB" w:rsidRDefault="00E62860" w:rsidP="006460F8">
            <w:pPr>
              <w:pStyle w:val="Default"/>
              <w:spacing w:before="20" w:after="20"/>
              <w:jc w:val="center"/>
              <w:rPr>
                <w:sz w:val="23"/>
                <w:szCs w:val="23"/>
              </w:rPr>
            </w:pPr>
            <w:r w:rsidRPr="006D00CB">
              <w:rPr>
                <w:sz w:val="23"/>
                <w:szCs w:val="23"/>
              </w:rPr>
              <w:t>£1</w:t>
            </w:r>
            <w:r w:rsidR="0052235D">
              <w:rPr>
                <w:sz w:val="23"/>
                <w:szCs w:val="23"/>
              </w:rPr>
              <w:t>,</w:t>
            </w:r>
            <w:r w:rsidRPr="006D00CB">
              <w:rPr>
                <w:sz w:val="23"/>
                <w:szCs w:val="23"/>
              </w:rPr>
              <w:t>8</w:t>
            </w:r>
            <w:r w:rsidR="0052235D">
              <w:rPr>
                <w:sz w:val="23"/>
                <w:szCs w:val="23"/>
              </w:rPr>
              <w:t>00,000</w:t>
            </w:r>
            <w:r w:rsidRPr="006D00CB">
              <w:rPr>
                <w:sz w:val="23"/>
                <w:szCs w:val="23"/>
              </w:rPr>
              <w:t xml:space="preserve"> </w:t>
            </w:r>
          </w:p>
        </w:tc>
      </w:tr>
      <w:tr w:rsidR="00E62860" w14:paraId="75FF7991" w14:textId="77777777" w:rsidTr="00E62860">
        <w:trPr>
          <w:trHeight w:val="112"/>
        </w:trPr>
        <w:tc>
          <w:tcPr>
            <w:tcW w:w="5065" w:type="dxa"/>
          </w:tcPr>
          <w:p w14:paraId="52922EE1" w14:textId="17FB5510" w:rsidR="00E62860" w:rsidRDefault="00E62860" w:rsidP="006460F8">
            <w:pPr>
              <w:pStyle w:val="Default"/>
              <w:spacing w:before="20" w:after="20"/>
              <w:jc w:val="center"/>
              <w:rPr>
                <w:sz w:val="23"/>
                <w:szCs w:val="23"/>
              </w:rPr>
            </w:pPr>
            <w:r>
              <w:rPr>
                <w:sz w:val="23"/>
                <w:szCs w:val="23"/>
              </w:rPr>
              <w:t>2012</w:t>
            </w:r>
            <w:r w:rsidR="00034ABC">
              <w:rPr>
                <w:sz w:val="23"/>
                <w:szCs w:val="23"/>
              </w:rPr>
              <w:t>-</w:t>
            </w:r>
            <w:r>
              <w:rPr>
                <w:sz w:val="23"/>
                <w:szCs w:val="23"/>
              </w:rPr>
              <w:t>13</w:t>
            </w:r>
          </w:p>
        </w:tc>
        <w:tc>
          <w:tcPr>
            <w:tcW w:w="4536" w:type="dxa"/>
          </w:tcPr>
          <w:p w14:paraId="4D1D3ECF" w14:textId="79A02337"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sidR="0052235D">
              <w:rPr>
                <w:rFonts w:ascii="Arial" w:hAnsi="Arial" w:cs="Arial"/>
                <w:sz w:val="23"/>
                <w:szCs w:val="23"/>
              </w:rPr>
              <w:t>,</w:t>
            </w:r>
            <w:r>
              <w:rPr>
                <w:rFonts w:ascii="Arial" w:hAnsi="Arial" w:cs="Arial"/>
                <w:sz w:val="23"/>
                <w:szCs w:val="23"/>
              </w:rPr>
              <w:t>5</w:t>
            </w:r>
            <w:r w:rsidR="0052235D">
              <w:rPr>
                <w:rFonts w:ascii="Arial" w:hAnsi="Arial" w:cs="Arial"/>
                <w:sz w:val="23"/>
                <w:szCs w:val="23"/>
              </w:rPr>
              <w:t>00,000</w:t>
            </w:r>
            <w:r w:rsidRPr="006D00CB">
              <w:rPr>
                <w:rFonts w:ascii="Arial" w:hAnsi="Arial" w:cs="Arial"/>
                <w:sz w:val="23"/>
                <w:szCs w:val="23"/>
              </w:rPr>
              <w:t xml:space="preserve"> </w:t>
            </w:r>
          </w:p>
        </w:tc>
      </w:tr>
      <w:tr w:rsidR="00E62860" w14:paraId="7205DC5A"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64E79EDE" w14:textId="0F73FC4E" w:rsidR="00E62860" w:rsidRDefault="00E62860" w:rsidP="006460F8">
            <w:pPr>
              <w:pStyle w:val="Default"/>
              <w:spacing w:before="20" w:after="20"/>
              <w:jc w:val="center"/>
              <w:rPr>
                <w:sz w:val="23"/>
                <w:szCs w:val="23"/>
              </w:rPr>
            </w:pPr>
            <w:r>
              <w:rPr>
                <w:sz w:val="23"/>
                <w:szCs w:val="23"/>
              </w:rPr>
              <w:t>2013</w:t>
            </w:r>
            <w:r w:rsidR="00034ABC">
              <w:rPr>
                <w:sz w:val="23"/>
                <w:szCs w:val="23"/>
              </w:rPr>
              <w:t>-</w:t>
            </w:r>
            <w:r>
              <w:rPr>
                <w:sz w:val="23"/>
                <w:szCs w:val="23"/>
              </w:rPr>
              <w:t>14</w:t>
            </w:r>
          </w:p>
        </w:tc>
        <w:tc>
          <w:tcPr>
            <w:tcW w:w="4536" w:type="dxa"/>
          </w:tcPr>
          <w:p w14:paraId="24C699C5" w14:textId="591BCD21" w:rsidR="00E62860" w:rsidRPr="006D00CB" w:rsidRDefault="00E62860" w:rsidP="006460F8">
            <w:pPr>
              <w:spacing w:before="20" w:after="20"/>
              <w:jc w:val="center"/>
              <w:rPr>
                <w:rFonts w:ascii="Arial" w:hAnsi="Arial" w:cs="Arial"/>
              </w:rPr>
            </w:pPr>
            <w:r>
              <w:rPr>
                <w:rFonts w:ascii="Arial" w:hAnsi="Arial" w:cs="Arial"/>
                <w:sz w:val="23"/>
                <w:szCs w:val="23"/>
              </w:rPr>
              <w:t>£1</w:t>
            </w:r>
            <w:r w:rsidR="0052235D">
              <w:rPr>
                <w:rFonts w:ascii="Arial" w:hAnsi="Arial" w:cs="Arial"/>
                <w:sz w:val="23"/>
                <w:szCs w:val="23"/>
              </w:rPr>
              <w:t>,</w:t>
            </w:r>
            <w:r>
              <w:rPr>
                <w:rFonts w:ascii="Arial" w:hAnsi="Arial" w:cs="Arial"/>
                <w:sz w:val="23"/>
                <w:szCs w:val="23"/>
              </w:rPr>
              <w:t>5</w:t>
            </w:r>
            <w:r w:rsidR="0052235D">
              <w:rPr>
                <w:rFonts w:ascii="Arial" w:hAnsi="Arial" w:cs="Arial"/>
                <w:sz w:val="23"/>
                <w:szCs w:val="23"/>
              </w:rPr>
              <w:t>00,000</w:t>
            </w:r>
            <w:r w:rsidRPr="006D00CB">
              <w:rPr>
                <w:rFonts w:ascii="Arial" w:hAnsi="Arial" w:cs="Arial"/>
                <w:sz w:val="23"/>
                <w:szCs w:val="23"/>
              </w:rPr>
              <w:t xml:space="preserve"> </w:t>
            </w:r>
          </w:p>
        </w:tc>
      </w:tr>
      <w:tr w:rsidR="00E62860" w14:paraId="66469069" w14:textId="77777777" w:rsidTr="00E62860">
        <w:trPr>
          <w:trHeight w:val="112"/>
        </w:trPr>
        <w:tc>
          <w:tcPr>
            <w:tcW w:w="5065" w:type="dxa"/>
          </w:tcPr>
          <w:p w14:paraId="65E354F7" w14:textId="1A9954B7" w:rsidR="00E62860" w:rsidRDefault="00E62860" w:rsidP="006460F8">
            <w:pPr>
              <w:pStyle w:val="Default"/>
              <w:spacing w:before="20" w:after="20"/>
              <w:jc w:val="center"/>
              <w:rPr>
                <w:sz w:val="23"/>
                <w:szCs w:val="23"/>
              </w:rPr>
            </w:pPr>
            <w:r>
              <w:rPr>
                <w:sz w:val="23"/>
                <w:szCs w:val="23"/>
              </w:rPr>
              <w:t>2014</w:t>
            </w:r>
            <w:r w:rsidR="00034ABC">
              <w:rPr>
                <w:sz w:val="23"/>
                <w:szCs w:val="23"/>
              </w:rPr>
              <w:t>-</w:t>
            </w:r>
            <w:r>
              <w:rPr>
                <w:sz w:val="23"/>
                <w:szCs w:val="23"/>
              </w:rPr>
              <w:t>15</w:t>
            </w:r>
          </w:p>
        </w:tc>
        <w:tc>
          <w:tcPr>
            <w:tcW w:w="4536" w:type="dxa"/>
          </w:tcPr>
          <w:p w14:paraId="5D3F73B3" w14:textId="3077CC26"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sidR="0052235D">
              <w:rPr>
                <w:rFonts w:ascii="Arial" w:hAnsi="Arial" w:cs="Arial"/>
                <w:sz w:val="23"/>
                <w:szCs w:val="23"/>
              </w:rPr>
              <w:t>,</w:t>
            </w:r>
            <w:r>
              <w:rPr>
                <w:rFonts w:ascii="Arial" w:hAnsi="Arial" w:cs="Arial"/>
                <w:sz w:val="23"/>
                <w:szCs w:val="23"/>
              </w:rPr>
              <w:t>25</w:t>
            </w:r>
            <w:r w:rsidR="0052235D">
              <w:rPr>
                <w:rFonts w:ascii="Arial" w:hAnsi="Arial" w:cs="Arial"/>
                <w:sz w:val="23"/>
                <w:szCs w:val="23"/>
              </w:rPr>
              <w:t>0,000</w:t>
            </w:r>
            <w:r w:rsidRPr="006D00CB">
              <w:rPr>
                <w:rFonts w:ascii="Arial" w:hAnsi="Arial" w:cs="Arial"/>
                <w:sz w:val="23"/>
                <w:szCs w:val="23"/>
              </w:rPr>
              <w:t xml:space="preserve"> </w:t>
            </w:r>
          </w:p>
        </w:tc>
      </w:tr>
      <w:tr w:rsidR="00E62860" w14:paraId="30A04C31"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3C1F0C0C" w14:textId="7EDF9EB9" w:rsidR="00E62860" w:rsidRDefault="00E62860" w:rsidP="006460F8">
            <w:pPr>
              <w:pStyle w:val="Default"/>
              <w:spacing w:before="20" w:after="20"/>
              <w:jc w:val="center"/>
              <w:rPr>
                <w:sz w:val="23"/>
                <w:szCs w:val="23"/>
              </w:rPr>
            </w:pPr>
            <w:r>
              <w:rPr>
                <w:sz w:val="23"/>
                <w:szCs w:val="23"/>
              </w:rPr>
              <w:t>2015</w:t>
            </w:r>
            <w:r w:rsidR="00034ABC">
              <w:rPr>
                <w:sz w:val="23"/>
                <w:szCs w:val="23"/>
              </w:rPr>
              <w:t>-</w:t>
            </w:r>
            <w:r>
              <w:rPr>
                <w:sz w:val="23"/>
                <w:szCs w:val="23"/>
              </w:rPr>
              <w:t>16</w:t>
            </w:r>
          </w:p>
        </w:tc>
        <w:tc>
          <w:tcPr>
            <w:tcW w:w="4536" w:type="dxa"/>
          </w:tcPr>
          <w:p w14:paraId="0E1E0486" w14:textId="1C93C583"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sidR="0052235D">
              <w:rPr>
                <w:rFonts w:ascii="Arial" w:hAnsi="Arial" w:cs="Arial"/>
                <w:sz w:val="23"/>
                <w:szCs w:val="23"/>
              </w:rPr>
              <w:t>,</w:t>
            </w:r>
            <w:r>
              <w:rPr>
                <w:rFonts w:ascii="Arial" w:hAnsi="Arial" w:cs="Arial"/>
                <w:sz w:val="23"/>
                <w:szCs w:val="23"/>
              </w:rPr>
              <w:t>25</w:t>
            </w:r>
            <w:r w:rsidR="0052235D">
              <w:rPr>
                <w:rFonts w:ascii="Arial" w:hAnsi="Arial" w:cs="Arial"/>
                <w:sz w:val="23"/>
                <w:szCs w:val="23"/>
              </w:rPr>
              <w:t>0,000</w:t>
            </w:r>
          </w:p>
        </w:tc>
      </w:tr>
      <w:tr w:rsidR="00E62860" w14:paraId="2F10B3C6" w14:textId="77777777" w:rsidTr="00E62860">
        <w:trPr>
          <w:trHeight w:val="112"/>
        </w:trPr>
        <w:tc>
          <w:tcPr>
            <w:tcW w:w="5065" w:type="dxa"/>
          </w:tcPr>
          <w:p w14:paraId="1097C088" w14:textId="6C0D0190" w:rsidR="00E62860" w:rsidRDefault="00E62860" w:rsidP="006460F8">
            <w:pPr>
              <w:pStyle w:val="Default"/>
              <w:spacing w:before="20" w:after="20"/>
              <w:jc w:val="center"/>
              <w:rPr>
                <w:sz w:val="23"/>
                <w:szCs w:val="23"/>
              </w:rPr>
            </w:pPr>
            <w:r>
              <w:rPr>
                <w:sz w:val="23"/>
                <w:szCs w:val="23"/>
              </w:rPr>
              <w:t>2016</w:t>
            </w:r>
            <w:r w:rsidR="00034ABC">
              <w:rPr>
                <w:sz w:val="23"/>
                <w:szCs w:val="23"/>
              </w:rPr>
              <w:t>-</w:t>
            </w:r>
            <w:r>
              <w:rPr>
                <w:sz w:val="23"/>
                <w:szCs w:val="23"/>
              </w:rPr>
              <w:t>17</w:t>
            </w:r>
          </w:p>
        </w:tc>
        <w:tc>
          <w:tcPr>
            <w:tcW w:w="4536" w:type="dxa"/>
          </w:tcPr>
          <w:p w14:paraId="28C1D4E2" w14:textId="44708B2B"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sidR="0052235D">
              <w:rPr>
                <w:rFonts w:ascii="Arial" w:hAnsi="Arial" w:cs="Arial"/>
                <w:sz w:val="23"/>
                <w:szCs w:val="23"/>
              </w:rPr>
              <w:t>,</w:t>
            </w:r>
            <w:r>
              <w:rPr>
                <w:rFonts w:ascii="Arial" w:hAnsi="Arial" w:cs="Arial"/>
                <w:sz w:val="23"/>
                <w:szCs w:val="23"/>
              </w:rPr>
              <w:t>0</w:t>
            </w:r>
            <w:r w:rsidR="0052235D">
              <w:rPr>
                <w:rFonts w:ascii="Arial" w:hAnsi="Arial" w:cs="Arial"/>
                <w:sz w:val="23"/>
                <w:szCs w:val="23"/>
              </w:rPr>
              <w:t>00,000</w:t>
            </w:r>
          </w:p>
        </w:tc>
      </w:tr>
      <w:tr w:rsidR="00E62860" w14:paraId="207A0935"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2ECD8C52" w14:textId="2C97DC38" w:rsidR="00E62860" w:rsidRDefault="00E62860" w:rsidP="006460F8">
            <w:pPr>
              <w:pStyle w:val="Default"/>
              <w:spacing w:before="20" w:after="20"/>
              <w:jc w:val="center"/>
              <w:rPr>
                <w:sz w:val="23"/>
                <w:szCs w:val="23"/>
              </w:rPr>
            </w:pPr>
            <w:r>
              <w:rPr>
                <w:sz w:val="23"/>
                <w:szCs w:val="23"/>
              </w:rPr>
              <w:t>2017</w:t>
            </w:r>
            <w:r w:rsidR="00034ABC">
              <w:rPr>
                <w:sz w:val="23"/>
                <w:szCs w:val="23"/>
              </w:rPr>
              <w:t>-</w:t>
            </w:r>
            <w:r>
              <w:rPr>
                <w:sz w:val="23"/>
                <w:szCs w:val="23"/>
              </w:rPr>
              <w:t>18</w:t>
            </w:r>
          </w:p>
        </w:tc>
        <w:tc>
          <w:tcPr>
            <w:tcW w:w="4536" w:type="dxa"/>
          </w:tcPr>
          <w:p w14:paraId="1E8CF404" w14:textId="40389FF6" w:rsidR="00E62860" w:rsidRPr="006D00CB" w:rsidRDefault="00E62860" w:rsidP="006460F8">
            <w:pPr>
              <w:spacing w:before="20" w:after="20"/>
              <w:jc w:val="center"/>
              <w:rPr>
                <w:rFonts w:ascii="Arial" w:hAnsi="Arial" w:cs="Arial"/>
              </w:rPr>
            </w:pPr>
            <w:r w:rsidRPr="006D00CB">
              <w:rPr>
                <w:rFonts w:ascii="Arial" w:hAnsi="Arial" w:cs="Arial"/>
                <w:sz w:val="23"/>
                <w:szCs w:val="23"/>
              </w:rPr>
              <w:t>£</w:t>
            </w:r>
            <w:r w:rsidR="0052235D" w:rsidRPr="006D00CB">
              <w:rPr>
                <w:rFonts w:ascii="Arial" w:hAnsi="Arial" w:cs="Arial"/>
                <w:sz w:val="23"/>
                <w:szCs w:val="23"/>
              </w:rPr>
              <w:t>1</w:t>
            </w:r>
            <w:r w:rsidR="0052235D">
              <w:rPr>
                <w:rFonts w:ascii="Arial" w:hAnsi="Arial" w:cs="Arial"/>
                <w:sz w:val="23"/>
                <w:szCs w:val="23"/>
              </w:rPr>
              <w:t>,000,000</w:t>
            </w:r>
          </w:p>
        </w:tc>
      </w:tr>
      <w:tr w:rsidR="00E62860" w14:paraId="258861F2" w14:textId="77777777" w:rsidTr="00E62860">
        <w:trPr>
          <w:trHeight w:val="112"/>
        </w:trPr>
        <w:tc>
          <w:tcPr>
            <w:tcW w:w="5065" w:type="dxa"/>
          </w:tcPr>
          <w:p w14:paraId="04C0023C" w14:textId="575D757C" w:rsidR="00E62860" w:rsidRDefault="00E62860" w:rsidP="006460F8">
            <w:pPr>
              <w:pStyle w:val="Default"/>
              <w:spacing w:before="20" w:after="20"/>
              <w:jc w:val="center"/>
              <w:rPr>
                <w:sz w:val="23"/>
                <w:szCs w:val="23"/>
              </w:rPr>
            </w:pPr>
            <w:r>
              <w:rPr>
                <w:sz w:val="23"/>
                <w:szCs w:val="23"/>
              </w:rPr>
              <w:t>2018</w:t>
            </w:r>
            <w:r w:rsidR="00034ABC">
              <w:rPr>
                <w:sz w:val="23"/>
                <w:szCs w:val="23"/>
              </w:rPr>
              <w:t>-</w:t>
            </w:r>
            <w:r>
              <w:rPr>
                <w:sz w:val="23"/>
                <w:szCs w:val="23"/>
              </w:rPr>
              <w:t>19</w:t>
            </w:r>
          </w:p>
        </w:tc>
        <w:tc>
          <w:tcPr>
            <w:tcW w:w="4536" w:type="dxa"/>
          </w:tcPr>
          <w:p w14:paraId="55227251" w14:textId="04A99261" w:rsidR="00E62860" w:rsidRPr="006D00CB" w:rsidRDefault="00E62860" w:rsidP="006460F8">
            <w:pPr>
              <w:spacing w:before="20" w:after="20"/>
              <w:jc w:val="center"/>
              <w:rPr>
                <w:rFonts w:ascii="Arial" w:hAnsi="Arial" w:cs="Arial"/>
              </w:rPr>
            </w:pPr>
            <w:r w:rsidRPr="006D00CB">
              <w:rPr>
                <w:rFonts w:ascii="Arial" w:hAnsi="Arial" w:cs="Arial"/>
                <w:sz w:val="23"/>
                <w:szCs w:val="23"/>
              </w:rPr>
              <w:t>£1</w:t>
            </w:r>
            <w:r w:rsidR="0052235D">
              <w:rPr>
                <w:rFonts w:ascii="Arial" w:hAnsi="Arial" w:cs="Arial"/>
                <w:sz w:val="23"/>
                <w:szCs w:val="23"/>
              </w:rPr>
              <w:t>,</w:t>
            </w:r>
            <w:r>
              <w:rPr>
                <w:rFonts w:ascii="Arial" w:hAnsi="Arial" w:cs="Arial"/>
                <w:sz w:val="23"/>
                <w:szCs w:val="23"/>
              </w:rPr>
              <w:t>03</w:t>
            </w:r>
            <w:r w:rsidR="0052235D">
              <w:rPr>
                <w:rFonts w:ascii="Arial" w:hAnsi="Arial" w:cs="Arial"/>
                <w:sz w:val="23"/>
                <w:szCs w:val="23"/>
              </w:rPr>
              <w:t>0,000</w:t>
            </w:r>
          </w:p>
        </w:tc>
      </w:tr>
      <w:tr w:rsidR="00E62860" w14:paraId="04E1C463" w14:textId="77777777" w:rsidTr="00E62860">
        <w:trPr>
          <w:cnfStyle w:val="000000100000" w:firstRow="0" w:lastRow="0" w:firstColumn="0" w:lastColumn="0" w:oddVBand="0" w:evenVBand="0" w:oddHBand="1" w:evenHBand="0" w:firstRowFirstColumn="0" w:firstRowLastColumn="0" w:lastRowFirstColumn="0" w:lastRowLastColumn="0"/>
          <w:trHeight w:val="112"/>
        </w:trPr>
        <w:tc>
          <w:tcPr>
            <w:tcW w:w="5065" w:type="dxa"/>
          </w:tcPr>
          <w:p w14:paraId="056621B0" w14:textId="786149DC" w:rsidR="00E62860" w:rsidRDefault="00E62860" w:rsidP="006460F8">
            <w:pPr>
              <w:pStyle w:val="Default"/>
              <w:spacing w:before="20" w:after="20"/>
              <w:jc w:val="center"/>
              <w:rPr>
                <w:sz w:val="23"/>
                <w:szCs w:val="23"/>
              </w:rPr>
            </w:pPr>
            <w:r>
              <w:rPr>
                <w:sz w:val="23"/>
                <w:szCs w:val="23"/>
              </w:rPr>
              <w:t>2019</w:t>
            </w:r>
            <w:r w:rsidR="00034ABC">
              <w:rPr>
                <w:sz w:val="23"/>
                <w:szCs w:val="23"/>
              </w:rPr>
              <w:t>-</w:t>
            </w:r>
            <w:r>
              <w:rPr>
                <w:sz w:val="23"/>
                <w:szCs w:val="23"/>
              </w:rPr>
              <w:t>20</w:t>
            </w:r>
          </w:p>
        </w:tc>
        <w:tc>
          <w:tcPr>
            <w:tcW w:w="4536" w:type="dxa"/>
          </w:tcPr>
          <w:p w14:paraId="3A26FDC2" w14:textId="18808CF8" w:rsidR="00E62860" w:rsidRPr="006D00CB" w:rsidRDefault="00E62860" w:rsidP="006460F8">
            <w:pPr>
              <w:spacing w:before="20" w:after="20"/>
              <w:jc w:val="center"/>
              <w:rPr>
                <w:rFonts w:ascii="Arial" w:hAnsi="Arial" w:cs="Arial"/>
                <w:sz w:val="23"/>
                <w:szCs w:val="23"/>
              </w:rPr>
            </w:pPr>
            <w:r>
              <w:rPr>
                <w:rFonts w:ascii="Arial" w:hAnsi="Arial" w:cs="Arial"/>
                <w:sz w:val="23"/>
                <w:szCs w:val="23"/>
              </w:rPr>
              <w:t>£1</w:t>
            </w:r>
            <w:r w:rsidR="0052235D">
              <w:rPr>
                <w:rFonts w:ascii="Arial" w:hAnsi="Arial" w:cs="Arial"/>
                <w:sz w:val="23"/>
                <w:szCs w:val="23"/>
              </w:rPr>
              <w:t>,</w:t>
            </w:r>
            <w:r>
              <w:rPr>
                <w:rFonts w:ascii="Arial" w:hAnsi="Arial" w:cs="Arial"/>
                <w:sz w:val="23"/>
                <w:szCs w:val="23"/>
              </w:rPr>
              <w:t>055</w:t>
            </w:r>
            <w:r w:rsidR="0052235D">
              <w:rPr>
                <w:rFonts w:ascii="Arial" w:hAnsi="Arial" w:cs="Arial"/>
                <w:sz w:val="23"/>
                <w:szCs w:val="23"/>
              </w:rPr>
              <w:t>,000</w:t>
            </w:r>
          </w:p>
        </w:tc>
      </w:tr>
      <w:tr w:rsidR="00034ABC" w14:paraId="3D79EE4C" w14:textId="77777777" w:rsidTr="00E62860">
        <w:trPr>
          <w:trHeight w:val="112"/>
        </w:trPr>
        <w:tc>
          <w:tcPr>
            <w:tcW w:w="5065" w:type="dxa"/>
          </w:tcPr>
          <w:p w14:paraId="2DD6074B" w14:textId="01017032" w:rsidR="00034ABC" w:rsidRDefault="00034ABC" w:rsidP="006460F8">
            <w:pPr>
              <w:pStyle w:val="Default"/>
              <w:spacing w:before="20" w:after="20"/>
              <w:jc w:val="center"/>
              <w:rPr>
                <w:sz w:val="23"/>
                <w:szCs w:val="23"/>
              </w:rPr>
            </w:pPr>
            <w:r>
              <w:rPr>
                <w:sz w:val="23"/>
                <w:szCs w:val="23"/>
              </w:rPr>
              <w:t>2020-21</w:t>
            </w:r>
          </w:p>
        </w:tc>
        <w:tc>
          <w:tcPr>
            <w:tcW w:w="4536" w:type="dxa"/>
          </w:tcPr>
          <w:p w14:paraId="06E294FA" w14:textId="10254626" w:rsidR="00034ABC" w:rsidRDefault="00494C83" w:rsidP="006460F8">
            <w:pPr>
              <w:spacing w:before="20" w:after="20"/>
              <w:jc w:val="center"/>
              <w:rPr>
                <w:rFonts w:ascii="Arial" w:hAnsi="Arial" w:cs="Arial"/>
                <w:sz w:val="23"/>
                <w:szCs w:val="23"/>
              </w:rPr>
            </w:pPr>
            <w:r>
              <w:rPr>
                <w:rFonts w:ascii="Arial" w:hAnsi="Arial" w:cs="Arial"/>
                <w:sz w:val="23"/>
                <w:szCs w:val="23"/>
              </w:rPr>
              <w:t>£1</w:t>
            </w:r>
            <w:r w:rsidR="0052235D">
              <w:rPr>
                <w:rFonts w:ascii="Arial" w:hAnsi="Arial" w:cs="Arial"/>
                <w:sz w:val="23"/>
                <w:szCs w:val="23"/>
              </w:rPr>
              <w:t>,</w:t>
            </w:r>
            <w:r>
              <w:rPr>
                <w:rFonts w:ascii="Arial" w:hAnsi="Arial" w:cs="Arial"/>
                <w:sz w:val="23"/>
                <w:szCs w:val="23"/>
              </w:rPr>
              <w:t>07</w:t>
            </w:r>
            <w:r w:rsidR="0052235D">
              <w:rPr>
                <w:rFonts w:ascii="Arial" w:hAnsi="Arial" w:cs="Arial"/>
                <w:sz w:val="23"/>
                <w:szCs w:val="23"/>
              </w:rPr>
              <w:t>3,100</w:t>
            </w:r>
          </w:p>
        </w:tc>
      </w:tr>
    </w:tbl>
    <w:p w14:paraId="46D98253" w14:textId="77777777" w:rsidR="00E62860" w:rsidRDefault="00E62860" w:rsidP="00E62860">
      <w:pPr>
        <w:pStyle w:val="Default"/>
        <w:jc w:val="both"/>
        <w:rPr>
          <w:color w:val="auto"/>
          <w:sz w:val="22"/>
          <w:szCs w:val="22"/>
        </w:rPr>
      </w:pPr>
    </w:p>
    <w:p w14:paraId="4D0269CC" w14:textId="77777777" w:rsidR="00E62860" w:rsidRDefault="00E62860" w:rsidP="00A40C70">
      <w:pPr>
        <w:pStyle w:val="Heading1"/>
      </w:pPr>
      <w:r w:rsidRPr="00E62860">
        <w:t>How is the lifetime allowance calculated?</w:t>
      </w:r>
    </w:p>
    <w:p w14:paraId="451BA635" w14:textId="77777777" w:rsidR="00E62860" w:rsidRPr="001F332C" w:rsidRDefault="00E62860" w:rsidP="001F332C">
      <w:pPr>
        <w:spacing w:after="0"/>
        <w:rPr>
          <w:rFonts w:ascii="Arial" w:hAnsi="Arial" w:cs="Arial"/>
          <w:sz w:val="24"/>
          <w:szCs w:val="20"/>
        </w:rPr>
      </w:pPr>
      <w:r w:rsidRPr="001F332C">
        <w:rPr>
          <w:rFonts w:ascii="Arial" w:hAnsi="Arial" w:cs="Arial"/>
          <w:sz w:val="24"/>
          <w:szCs w:val="20"/>
        </w:rPr>
        <w:t>For pensions that start to be drawn on or after 6 April 2006, the capital value of those pension benefits is calculated by multiplying your annual pension by 20 and adding any lump sum you draw from the pension scheme.</w:t>
      </w:r>
    </w:p>
    <w:p w14:paraId="50C41FE9" w14:textId="77777777" w:rsidR="00E62860" w:rsidRPr="001F332C" w:rsidRDefault="00E62860" w:rsidP="001F332C">
      <w:pPr>
        <w:spacing w:after="0"/>
        <w:rPr>
          <w:rFonts w:ascii="Arial" w:hAnsi="Arial" w:cs="Arial"/>
          <w:sz w:val="24"/>
          <w:szCs w:val="20"/>
        </w:rPr>
      </w:pPr>
    </w:p>
    <w:p w14:paraId="0F0913A0" w14:textId="77777777" w:rsidR="00E62860" w:rsidRPr="001F332C" w:rsidRDefault="00E62860" w:rsidP="001F332C">
      <w:pPr>
        <w:spacing w:after="0"/>
        <w:rPr>
          <w:rFonts w:ascii="Arial" w:hAnsi="Arial" w:cs="Arial"/>
          <w:sz w:val="24"/>
          <w:szCs w:val="20"/>
        </w:rPr>
      </w:pPr>
      <w:r w:rsidRPr="001F332C">
        <w:rPr>
          <w:rFonts w:ascii="Arial" w:hAnsi="Arial" w:cs="Arial"/>
          <w:sz w:val="24"/>
          <w:szCs w:val="20"/>
        </w:rPr>
        <w:t>For pensions already in payment before 6 April 2006, the capital value of these is calculated by multiplying the current annual rate, including any pensions increase, by 25. Any lump sum already paid is ignored in the valuation.</w:t>
      </w:r>
    </w:p>
    <w:p w14:paraId="6A429CC4" w14:textId="77777777" w:rsidR="00E62860" w:rsidRPr="001F332C" w:rsidRDefault="00E62860" w:rsidP="001F332C">
      <w:pPr>
        <w:spacing w:after="0"/>
        <w:rPr>
          <w:rFonts w:ascii="Arial" w:hAnsi="Arial" w:cs="Arial"/>
          <w:sz w:val="24"/>
          <w:szCs w:val="20"/>
        </w:rPr>
      </w:pPr>
    </w:p>
    <w:p w14:paraId="1884FB86" w14:textId="3942269B" w:rsidR="00E62860" w:rsidRPr="001F332C" w:rsidRDefault="00E62860" w:rsidP="001F332C">
      <w:pPr>
        <w:spacing w:after="0"/>
        <w:rPr>
          <w:rFonts w:ascii="Arial" w:hAnsi="Arial" w:cs="Arial"/>
          <w:sz w:val="24"/>
          <w:szCs w:val="20"/>
        </w:rPr>
      </w:pPr>
      <w:r w:rsidRPr="001F332C">
        <w:rPr>
          <w:rFonts w:ascii="Arial" w:hAnsi="Arial" w:cs="Arial"/>
          <w:sz w:val="24"/>
          <w:szCs w:val="20"/>
        </w:rPr>
        <w:t xml:space="preserve">When any FPS benefit, or any other pension arrangement you may have, is put into payment you use up some of your </w:t>
      </w:r>
      <w:r w:rsidR="00A0246E">
        <w:rPr>
          <w:rFonts w:ascii="Arial" w:hAnsi="Arial" w:cs="Arial"/>
          <w:sz w:val="24"/>
          <w:szCs w:val="20"/>
        </w:rPr>
        <w:t xml:space="preserve">LTA </w:t>
      </w:r>
      <w:r w:rsidRPr="001F332C">
        <w:rPr>
          <w:rFonts w:ascii="Arial" w:hAnsi="Arial" w:cs="Arial"/>
          <w:sz w:val="24"/>
          <w:szCs w:val="20"/>
        </w:rPr>
        <w:t xml:space="preserve">- so even if your pensions are small and individually will not be more than the </w:t>
      </w:r>
      <w:r w:rsidR="00A40C70" w:rsidRPr="001F332C">
        <w:rPr>
          <w:rFonts w:ascii="Arial" w:hAnsi="Arial" w:cs="Arial"/>
          <w:sz w:val="24"/>
          <w:szCs w:val="20"/>
        </w:rPr>
        <w:t>LTA,</w:t>
      </w:r>
      <w:r w:rsidRPr="001F332C">
        <w:rPr>
          <w:rFonts w:ascii="Arial" w:hAnsi="Arial" w:cs="Arial"/>
          <w:sz w:val="24"/>
          <w:szCs w:val="20"/>
        </w:rPr>
        <w:t xml:space="preserve"> you should keep a record of any pensions you receive. If you have a pension in payment before 6 April 2006, this will be treated as having used up part of your allowance.</w:t>
      </w:r>
    </w:p>
    <w:p w14:paraId="40B201DF" w14:textId="77777777" w:rsidR="00E62860" w:rsidRPr="001F332C" w:rsidRDefault="00E62860" w:rsidP="001F332C">
      <w:pPr>
        <w:spacing w:after="0"/>
        <w:rPr>
          <w:rFonts w:ascii="Arial" w:hAnsi="Arial" w:cs="Arial"/>
          <w:sz w:val="24"/>
          <w:szCs w:val="20"/>
        </w:rPr>
      </w:pPr>
    </w:p>
    <w:p w14:paraId="07FE98B7" w14:textId="39CFD230" w:rsidR="00E62860" w:rsidRPr="001F332C" w:rsidRDefault="00E62860" w:rsidP="001F332C">
      <w:pPr>
        <w:spacing w:after="0"/>
        <w:rPr>
          <w:rFonts w:ascii="Arial" w:hAnsi="Arial" w:cs="Arial"/>
          <w:sz w:val="24"/>
          <w:szCs w:val="20"/>
        </w:rPr>
      </w:pPr>
      <w:r w:rsidRPr="001F332C">
        <w:rPr>
          <w:rFonts w:ascii="Arial" w:hAnsi="Arial" w:cs="Arial"/>
          <w:sz w:val="24"/>
          <w:szCs w:val="20"/>
        </w:rPr>
        <w:t xml:space="preserve">If your FPS benefits are more than your </w:t>
      </w:r>
      <w:proofErr w:type="gramStart"/>
      <w:r w:rsidR="00A0246E">
        <w:rPr>
          <w:rFonts w:ascii="Arial" w:hAnsi="Arial" w:cs="Arial"/>
          <w:sz w:val="24"/>
          <w:szCs w:val="20"/>
        </w:rPr>
        <w:t>LTA</w:t>
      </w:r>
      <w:proofErr w:type="gramEnd"/>
      <w:r w:rsidR="00A0246E">
        <w:rPr>
          <w:rFonts w:ascii="Arial" w:hAnsi="Arial" w:cs="Arial"/>
          <w:sz w:val="24"/>
          <w:szCs w:val="20"/>
        </w:rPr>
        <w:t xml:space="preserve"> </w:t>
      </w:r>
      <w:r w:rsidRPr="001F332C">
        <w:rPr>
          <w:rFonts w:ascii="Arial" w:hAnsi="Arial" w:cs="Arial"/>
          <w:sz w:val="24"/>
          <w:szCs w:val="20"/>
        </w:rPr>
        <w:t>you will have to pay tax on the excess. If your excess benefits are paid as a pension the charge will be 25%, with income tax deducted on the ongoing pension payments; if the excess benefits are taken as a lump sum they will be taxed once only at 55%.</w:t>
      </w:r>
    </w:p>
    <w:p w14:paraId="4D3549A5" w14:textId="77777777" w:rsidR="00E62860" w:rsidRPr="001F332C" w:rsidRDefault="00E62860" w:rsidP="001F332C">
      <w:pPr>
        <w:spacing w:after="0"/>
        <w:rPr>
          <w:rFonts w:ascii="Arial" w:hAnsi="Arial" w:cs="Arial"/>
          <w:sz w:val="24"/>
          <w:szCs w:val="20"/>
        </w:rPr>
      </w:pPr>
    </w:p>
    <w:p w14:paraId="3C9DEC20" w14:textId="10571C61" w:rsidR="007E6E9A" w:rsidRPr="001F332C" w:rsidRDefault="00E62860" w:rsidP="001F332C">
      <w:pPr>
        <w:spacing w:after="0"/>
        <w:rPr>
          <w:rFonts w:ascii="Arial" w:hAnsi="Arial" w:cs="Arial"/>
          <w:sz w:val="24"/>
          <w:szCs w:val="20"/>
        </w:rPr>
      </w:pPr>
      <w:r w:rsidRPr="001F332C">
        <w:rPr>
          <w:rFonts w:ascii="Arial" w:hAnsi="Arial" w:cs="Arial"/>
          <w:sz w:val="24"/>
          <w:szCs w:val="20"/>
        </w:rPr>
        <w:t>You can choose to pay the tax charge immediately by a reduction to your lump sum or you can ask the scheme to pay the charge for you in return for a permanent reduction to your pension – this is called a lifetime allowance debit.</w:t>
      </w:r>
    </w:p>
    <w:p w14:paraId="455CABAE" w14:textId="77777777" w:rsidR="00E62860" w:rsidRPr="001F332C" w:rsidRDefault="00E62860" w:rsidP="001F332C">
      <w:pPr>
        <w:spacing w:after="0"/>
        <w:rPr>
          <w:rFonts w:ascii="Arial" w:hAnsi="Arial" w:cs="Arial"/>
          <w:sz w:val="24"/>
          <w:szCs w:val="20"/>
        </w:rPr>
      </w:pPr>
    </w:p>
    <w:p w14:paraId="0F330935" w14:textId="74BF5905" w:rsidR="00E62860" w:rsidRPr="001F332C" w:rsidRDefault="00E62860" w:rsidP="001F332C">
      <w:pPr>
        <w:spacing w:after="0"/>
        <w:rPr>
          <w:rFonts w:ascii="Arial" w:hAnsi="Arial" w:cs="Arial"/>
          <w:sz w:val="24"/>
          <w:szCs w:val="20"/>
        </w:rPr>
      </w:pPr>
      <w:r w:rsidRPr="001F332C">
        <w:rPr>
          <w:rFonts w:ascii="Arial" w:hAnsi="Arial" w:cs="Arial"/>
          <w:sz w:val="24"/>
          <w:szCs w:val="20"/>
        </w:rPr>
        <w:t xml:space="preserve">Examples of the </w:t>
      </w:r>
      <w:r w:rsidR="000F618E">
        <w:rPr>
          <w:rFonts w:ascii="Arial" w:hAnsi="Arial" w:cs="Arial"/>
          <w:sz w:val="24"/>
          <w:szCs w:val="20"/>
        </w:rPr>
        <w:t>LTA</w:t>
      </w:r>
      <w:r w:rsidRPr="001F332C">
        <w:rPr>
          <w:rFonts w:ascii="Arial" w:hAnsi="Arial" w:cs="Arial"/>
          <w:sz w:val="24"/>
          <w:szCs w:val="20"/>
        </w:rPr>
        <w:t xml:space="preserve"> calculation are shown at </w:t>
      </w:r>
      <w:hyperlink w:anchor="_Appendix_1:_example" w:history="1">
        <w:r w:rsidRPr="001F332C">
          <w:rPr>
            <w:rStyle w:val="Hyperlink"/>
            <w:rFonts w:ascii="Arial" w:hAnsi="Arial" w:cs="Arial"/>
            <w:sz w:val="24"/>
            <w:szCs w:val="20"/>
          </w:rPr>
          <w:t>Appendix 1</w:t>
        </w:r>
      </w:hyperlink>
      <w:r w:rsidRPr="001F332C">
        <w:rPr>
          <w:rFonts w:ascii="Arial" w:hAnsi="Arial" w:cs="Arial"/>
          <w:sz w:val="24"/>
          <w:szCs w:val="20"/>
        </w:rPr>
        <w:t>.</w:t>
      </w:r>
    </w:p>
    <w:p w14:paraId="78E87C1E" w14:textId="77777777" w:rsidR="00E62860" w:rsidRDefault="00E62860" w:rsidP="00A40C70">
      <w:pPr>
        <w:rPr>
          <w:rFonts w:ascii="Arial" w:hAnsi="Arial" w:cs="Arial"/>
          <w:szCs w:val="20"/>
        </w:rPr>
      </w:pPr>
    </w:p>
    <w:p w14:paraId="761195BD" w14:textId="77777777" w:rsidR="004B716A" w:rsidRDefault="004B716A">
      <w:pPr>
        <w:rPr>
          <w:rFonts w:ascii="Impact" w:hAnsi="Impact"/>
          <w:color w:val="34A161"/>
          <w:sz w:val="36"/>
        </w:rPr>
      </w:pPr>
      <w:bookmarkStart w:id="0" w:name="_Changes_to_the"/>
      <w:bookmarkEnd w:id="0"/>
      <w:r>
        <w:br w:type="page"/>
      </w:r>
    </w:p>
    <w:p w14:paraId="56963617" w14:textId="43D24E45" w:rsidR="006460F8" w:rsidRPr="00A40C70" w:rsidRDefault="006460F8" w:rsidP="00A40C70">
      <w:pPr>
        <w:pStyle w:val="Heading1"/>
      </w:pPr>
      <w:r w:rsidRPr="00A40C70">
        <w:lastRenderedPageBreak/>
        <w:t>Changes to the lifetime allowance</w:t>
      </w:r>
    </w:p>
    <w:p w14:paraId="53F18C47" w14:textId="6BC70FFF" w:rsidR="006460F8" w:rsidRPr="001F332C" w:rsidRDefault="006460F8" w:rsidP="001F332C">
      <w:pPr>
        <w:spacing w:after="0"/>
        <w:rPr>
          <w:rFonts w:ascii="Arial" w:hAnsi="Arial" w:cs="Arial"/>
          <w:sz w:val="24"/>
        </w:rPr>
      </w:pPr>
      <w:r w:rsidRPr="001F332C">
        <w:rPr>
          <w:rFonts w:ascii="Arial" w:hAnsi="Arial" w:cs="Arial"/>
          <w:sz w:val="24"/>
        </w:rPr>
        <w:t xml:space="preserve">The </w:t>
      </w:r>
      <w:r w:rsidR="000F618E">
        <w:rPr>
          <w:rFonts w:ascii="Arial" w:hAnsi="Arial" w:cs="Arial"/>
          <w:sz w:val="24"/>
        </w:rPr>
        <w:t>LTA</w:t>
      </w:r>
      <w:r w:rsidRPr="001F332C">
        <w:rPr>
          <w:rFonts w:ascii="Arial" w:hAnsi="Arial" w:cs="Arial"/>
          <w:sz w:val="24"/>
        </w:rPr>
        <w:t xml:space="preserve"> reduced from £1.25 million to £1 million with effect from 6 April 2016.</w:t>
      </w:r>
    </w:p>
    <w:p w14:paraId="749F6F0F" w14:textId="77777777" w:rsidR="006460F8" w:rsidRPr="001F332C" w:rsidRDefault="006460F8" w:rsidP="001F332C">
      <w:pPr>
        <w:spacing w:after="0"/>
        <w:rPr>
          <w:rFonts w:ascii="Arial" w:hAnsi="Arial" w:cs="Arial"/>
          <w:sz w:val="24"/>
        </w:rPr>
      </w:pPr>
    </w:p>
    <w:p w14:paraId="48A6D3CC" w14:textId="4EB3B315" w:rsidR="006460F8" w:rsidRPr="001F332C" w:rsidRDefault="006460F8" w:rsidP="001F332C">
      <w:pPr>
        <w:spacing w:after="0"/>
        <w:rPr>
          <w:rFonts w:ascii="Arial" w:hAnsi="Arial" w:cs="Arial"/>
          <w:sz w:val="24"/>
        </w:rPr>
      </w:pPr>
      <w:r w:rsidRPr="001F332C">
        <w:rPr>
          <w:rFonts w:ascii="Arial" w:hAnsi="Arial" w:cs="Arial"/>
          <w:sz w:val="24"/>
        </w:rPr>
        <w:t xml:space="preserve">Two new protections </w:t>
      </w:r>
      <w:r w:rsidR="000F618E">
        <w:rPr>
          <w:rFonts w:ascii="Arial" w:hAnsi="Arial" w:cs="Arial"/>
          <w:sz w:val="24"/>
        </w:rPr>
        <w:t>were</w:t>
      </w:r>
      <w:r w:rsidRPr="001F332C">
        <w:rPr>
          <w:rFonts w:ascii="Arial" w:hAnsi="Arial" w:cs="Arial"/>
          <w:sz w:val="24"/>
        </w:rPr>
        <w:t xml:space="preserve"> introduced from </w:t>
      </w:r>
      <w:r w:rsidR="000F618E">
        <w:rPr>
          <w:rFonts w:ascii="Arial" w:hAnsi="Arial" w:cs="Arial"/>
          <w:sz w:val="24"/>
        </w:rPr>
        <w:t>this date</w:t>
      </w:r>
      <w:r w:rsidRPr="001F332C">
        <w:rPr>
          <w:rFonts w:ascii="Arial" w:hAnsi="Arial" w:cs="Arial"/>
          <w:sz w:val="24"/>
        </w:rPr>
        <w:t xml:space="preserve"> and are known as</w:t>
      </w:r>
      <w:r w:rsidR="00A40C70" w:rsidRPr="001F332C">
        <w:rPr>
          <w:sz w:val="24"/>
        </w:rPr>
        <w:t xml:space="preserve"> </w:t>
      </w:r>
      <w:hyperlink w:anchor="_Individual_Protection_2016" w:history="1">
        <w:r w:rsidR="00A40C70" w:rsidRPr="001F332C">
          <w:rPr>
            <w:rStyle w:val="Hyperlink"/>
            <w:rFonts w:ascii="Arial" w:hAnsi="Arial" w:cs="Arial"/>
            <w:sz w:val="24"/>
          </w:rPr>
          <w:t>Individual Protection 2016</w:t>
        </w:r>
      </w:hyperlink>
      <w:r w:rsidR="00A40C70" w:rsidRPr="001F332C">
        <w:rPr>
          <w:rFonts w:ascii="Arial" w:hAnsi="Arial" w:cs="Arial"/>
          <w:sz w:val="24"/>
        </w:rPr>
        <w:t xml:space="preserve"> and </w:t>
      </w:r>
      <w:hyperlink w:anchor="_Fixed_Protection_2016" w:history="1">
        <w:r w:rsidR="00A40C70" w:rsidRPr="001F332C">
          <w:rPr>
            <w:rStyle w:val="Hyperlink"/>
            <w:rFonts w:ascii="Arial" w:hAnsi="Arial" w:cs="Arial"/>
            <w:sz w:val="24"/>
          </w:rPr>
          <w:t>Fixed Protection 2016</w:t>
        </w:r>
      </w:hyperlink>
      <w:r w:rsidR="00A40C70" w:rsidRPr="001F332C">
        <w:rPr>
          <w:rFonts w:ascii="Arial" w:hAnsi="Arial" w:cs="Arial"/>
          <w:sz w:val="24"/>
        </w:rPr>
        <w:t xml:space="preserve">. </w:t>
      </w:r>
      <w:r w:rsidRPr="001F332C">
        <w:rPr>
          <w:rFonts w:ascii="Arial" w:hAnsi="Arial" w:cs="Arial"/>
          <w:sz w:val="24"/>
        </w:rPr>
        <w:t>These protections are the same in design as</w:t>
      </w:r>
      <w:r w:rsidR="0049140A" w:rsidRPr="001F332C">
        <w:rPr>
          <w:rFonts w:ascii="Arial" w:hAnsi="Arial" w:cs="Arial"/>
          <w:sz w:val="24"/>
        </w:rPr>
        <w:t xml:space="preserve"> Individual </w:t>
      </w:r>
      <w:r w:rsidRPr="001F332C">
        <w:rPr>
          <w:rFonts w:ascii="Arial" w:hAnsi="Arial" w:cs="Arial"/>
          <w:sz w:val="24"/>
        </w:rPr>
        <w:t>and</w:t>
      </w:r>
      <w:r w:rsidR="0049140A" w:rsidRPr="001F332C">
        <w:rPr>
          <w:rFonts w:ascii="Arial" w:hAnsi="Arial" w:cs="Arial"/>
          <w:sz w:val="24"/>
        </w:rPr>
        <w:t xml:space="preserve"> Fixed</w:t>
      </w:r>
      <w:r w:rsidRPr="001F332C">
        <w:rPr>
          <w:rFonts w:ascii="Arial" w:hAnsi="Arial" w:cs="Arial"/>
          <w:sz w:val="24"/>
        </w:rPr>
        <w:t xml:space="preserve"> Protections 2014 which were introduced when the </w:t>
      </w:r>
      <w:r w:rsidR="000F618E">
        <w:rPr>
          <w:rFonts w:ascii="Arial" w:hAnsi="Arial" w:cs="Arial"/>
          <w:sz w:val="24"/>
        </w:rPr>
        <w:t>LTA</w:t>
      </w:r>
      <w:r w:rsidRPr="001F332C">
        <w:rPr>
          <w:rFonts w:ascii="Arial" w:hAnsi="Arial" w:cs="Arial"/>
          <w:sz w:val="24"/>
        </w:rPr>
        <w:t xml:space="preserve"> reduced from £1.5 million to £1.25 million in 2014.</w:t>
      </w:r>
    </w:p>
    <w:p w14:paraId="63D14D7B" w14:textId="77777777" w:rsidR="002E2677" w:rsidRPr="00BD51A8" w:rsidRDefault="002E2677" w:rsidP="002E2677">
      <w:pPr>
        <w:pStyle w:val="Default"/>
        <w:jc w:val="both"/>
        <w:rPr>
          <w:sz w:val="22"/>
          <w:szCs w:val="22"/>
        </w:rPr>
      </w:pPr>
    </w:p>
    <w:p w14:paraId="0E6667F1" w14:textId="77777777" w:rsidR="006460F8" w:rsidRPr="005A44B5" w:rsidRDefault="006460F8" w:rsidP="00A40C70">
      <w:pPr>
        <w:pStyle w:val="Heading2"/>
        <w:rPr>
          <w:sz w:val="36"/>
          <w:szCs w:val="36"/>
        </w:rPr>
      </w:pPr>
      <w:bookmarkStart w:id="1" w:name="_Individual_Protection_2016"/>
      <w:bookmarkEnd w:id="1"/>
      <w:r w:rsidRPr="005A44B5">
        <w:rPr>
          <w:sz w:val="36"/>
          <w:szCs w:val="36"/>
        </w:rPr>
        <w:t>Individual Protection 2016 (IP2016)</w:t>
      </w:r>
    </w:p>
    <w:p w14:paraId="03C84063" w14:textId="7708E41A" w:rsidR="006460F8" w:rsidRPr="001F332C" w:rsidRDefault="006460F8" w:rsidP="001F332C">
      <w:pPr>
        <w:rPr>
          <w:rFonts w:ascii="Arial" w:hAnsi="Arial" w:cs="Arial"/>
          <w:color w:val="000000"/>
          <w:sz w:val="24"/>
        </w:rPr>
      </w:pPr>
      <w:r w:rsidRPr="001F332C">
        <w:rPr>
          <w:rFonts w:ascii="Arial" w:hAnsi="Arial" w:cs="Arial"/>
          <w:color w:val="000000"/>
          <w:sz w:val="24"/>
        </w:rPr>
        <w:t>You can apply for Individual protection 2016 from 6 April 2016 if you have pension savings valued at over £1 million (including past benefits already in payment) on 5 April 2016. However, if you have primary protection or individual protection 2014 you can’t apply for IP2016.</w:t>
      </w:r>
    </w:p>
    <w:p w14:paraId="6000CD48" w14:textId="5EEA087D" w:rsidR="002E2677" w:rsidRPr="001F332C" w:rsidRDefault="006460F8" w:rsidP="001F332C">
      <w:pPr>
        <w:rPr>
          <w:rFonts w:ascii="Arial" w:hAnsi="Arial" w:cs="Arial"/>
          <w:sz w:val="24"/>
        </w:rPr>
      </w:pPr>
      <w:r w:rsidRPr="001F332C">
        <w:rPr>
          <w:rFonts w:ascii="Arial" w:hAnsi="Arial" w:cs="Arial"/>
          <w:color w:val="000000"/>
          <w:sz w:val="24"/>
        </w:rPr>
        <w:t xml:space="preserve">IP2016 gives a protected </w:t>
      </w:r>
      <w:r w:rsidR="00EB47DA">
        <w:rPr>
          <w:rFonts w:ascii="Arial" w:hAnsi="Arial" w:cs="Arial"/>
          <w:color w:val="000000"/>
          <w:sz w:val="24"/>
        </w:rPr>
        <w:t xml:space="preserve">LTA </w:t>
      </w:r>
      <w:r w:rsidRPr="001F332C">
        <w:rPr>
          <w:rFonts w:ascii="Arial" w:hAnsi="Arial" w:cs="Arial"/>
          <w:color w:val="000000"/>
          <w:sz w:val="24"/>
        </w:rPr>
        <w:t xml:space="preserve">equal to the value of your pension rights on 5 April 2016 - up to an overall maximum of £1.25 million. You will not lose IP2016 by making further savings into your pension scheme but any pension savings in excess of your protected </w:t>
      </w:r>
      <w:r w:rsidR="00EB47DA">
        <w:rPr>
          <w:rFonts w:ascii="Arial" w:hAnsi="Arial" w:cs="Arial"/>
          <w:color w:val="000000"/>
          <w:sz w:val="24"/>
        </w:rPr>
        <w:t>LTA</w:t>
      </w:r>
      <w:r w:rsidRPr="001F332C">
        <w:rPr>
          <w:rFonts w:ascii="Arial" w:hAnsi="Arial" w:cs="Arial"/>
          <w:color w:val="000000"/>
          <w:sz w:val="24"/>
        </w:rPr>
        <w:t xml:space="preserve"> will be subject to a</w:t>
      </w:r>
      <w:r w:rsidR="00A65F77">
        <w:rPr>
          <w:rFonts w:ascii="Arial" w:hAnsi="Arial" w:cs="Arial"/>
          <w:color w:val="000000"/>
          <w:sz w:val="24"/>
        </w:rPr>
        <w:t xml:space="preserve">n LTA </w:t>
      </w:r>
      <w:r w:rsidRPr="001F332C">
        <w:rPr>
          <w:rFonts w:ascii="Arial" w:hAnsi="Arial" w:cs="Arial"/>
          <w:color w:val="000000"/>
          <w:sz w:val="24"/>
        </w:rPr>
        <w:t>charge.</w:t>
      </w:r>
    </w:p>
    <w:p w14:paraId="7F225DE2" w14:textId="77777777" w:rsidR="006460F8" w:rsidRPr="005A44B5" w:rsidRDefault="006460F8" w:rsidP="00A40C70">
      <w:pPr>
        <w:pStyle w:val="Heading2"/>
        <w:rPr>
          <w:sz w:val="36"/>
          <w:szCs w:val="28"/>
        </w:rPr>
      </w:pPr>
      <w:bookmarkStart w:id="2" w:name="_Fixed_Protection_2016"/>
      <w:bookmarkEnd w:id="2"/>
      <w:r w:rsidRPr="005A44B5">
        <w:rPr>
          <w:sz w:val="36"/>
          <w:szCs w:val="28"/>
        </w:rPr>
        <w:t>Fixed Protection 2016 (FP2016)</w:t>
      </w:r>
    </w:p>
    <w:p w14:paraId="38391BE4" w14:textId="716F9379" w:rsidR="006460F8" w:rsidRPr="001F332C" w:rsidRDefault="006460F8" w:rsidP="001F332C">
      <w:pPr>
        <w:autoSpaceDE w:val="0"/>
        <w:autoSpaceDN w:val="0"/>
        <w:adjustRightInd w:val="0"/>
        <w:spacing w:after="0" w:line="240" w:lineRule="auto"/>
        <w:rPr>
          <w:rFonts w:ascii="Arial" w:eastAsia="Calibri" w:hAnsi="Arial" w:cs="Arial"/>
          <w:color w:val="000000"/>
          <w:sz w:val="24"/>
          <w:szCs w:val="23"/>
        </w:rPr>
      </w:pPr>
      <w:r w:rsidRPr="001F332C">
        <w:rPr>
          <w:rFonts w:ascii="Arial" w:eastAsia="Calibri" w:hAnsi="Arial" w:cs="Arial"/>
          <w:color w:val="000000"/>
          <w:sz w:val="24"/>
          <w:szCs w:val="23"/>
        </w:rPr>
        <w:t xml:space="preserve">You can apply for Fixed Protection 2016 from 6 April 2016 if you expect your pension savings to be more than </w:t>
      </w:r>
      <w:r w:rsidR="00794209">
        <w:rPr>
          <w:rFonts w:ascii="Arial" w:eastAsia="Calibri" w:hAnsi="Arial" w:cs="Arial"/>
          <w:color w:val="000000"/>
          <w:sz w:val="24"/>
          <w:szCs w:val="23"/>
        </w:rPr>
        <w:t>the LTA</w:t>
      </w:r>
      <w:r w:rsidRPr="001F332C">
        <w:rPr>
          <w:rFonts w:ascii="Arial" w:eastAsia="Calibri" w:hAnsi="Arial" w:cs="Arial"/>
          <w:color w:val="000000"/>
          <w:sz w:val="24"/>
          <w:szCs w:val="23"/>
        </w:rPr>
        <w:t xml:space="preserve"> (including past benefits already in payment) when you come to take them on or after 6 April 2016. FP2016 can be used to help reduce or mitigate the </w:t>
      </w:r>
      <w:r w:rsidR="00D572E9">
        <w:rPr>
          <w:rFonts w:ascii="Arial" w:eastAsia="Calibri" w:hAnsi="Arial" w:cs="Arial"/>
          <w:color w:val="000000"/>
          <w:sz w:val="24"/>
          <w:szCs w:val="23"/>
        </w:rPr>
        <w:t>LTA</w:t>
      </w:r>
      <w:r w:rsidRPr="001F332C">
        <w:rPr>
          <w:rFonts w:ascii="Arial" w:eastAsia="Calibri" w:hAnsi="Arial" w:cs="Arial"/>
          <w:color w:val="000000"/>
          <w:sz w:val="24"/>
          <w:szCs w:val="23"/>
        </w:rPr>
        <w:t xml:space="preserve"> charge.</w:t>
      </w:r>
    </w:p>
    <w:p w14:paraId="01EFB88C" w14:textId="77777777" w:rsidR="006460F8" w:rsidRPr="001F332C" w:rsidRDefault="006460F8" w:rsidP="001F332C">
      <w:pPr>
        <w:autoSpaceDE w:val="0"/>
        <w:autoSpaceDN w:val="0"/>
        <w:adjustRightInd w:val="0"/>
        <w:spacing w:after="0" w:line="240" w:lineRule="auto"/>
        <w:rPr>
          <w:rFonts w:ascii="Arial" w:eastAsia="Calibri" w:hAnsi="Arial" w:cs="Arial"/>
          <w:color w:val="000000"/>
          <w:sz w:val="24"/>
          <w:szCs w:val="23"/>
        </w:rPr>
      </w:pPr>
    </w:p>
    <w:p w14:paraId="6487879B" w14:textId="77777777" w:rsidR="006460F8" w:rsidRPr="001F332C" w:rsidRDefault="006460F8" w:rsidP="001F332C">
      <w:pPr>
        <w:autoSpaceDE w:val="0"/>
        <w:autoSpaceDN w:val="0"/>
        <w:adjustRightInd w:val="0"/>
        <w:spacing w:after="0" w:line="240" w:lineRule="auto"/>
        <w:rPr>
          <w:rFonts w:ascii="Arial" w:eastAsia="Calibri" w:hAnsi="Arial" w:cs="Arial"/>
          <w:color w:val="000000"/>
          <w:sz w:val="24"/>
          <w:szCs w:val="23"/>
        </w:rPr>
      </w:pPr>
      <w:r w:rsidRPr="001F332C">
        <w:rPr>
          <w:rFonts w:ascii="Arial" w:eastAsia="Calibri" w:hAnsi="Arial" w:cs="Arial"/>
          <w:color w:val="000000"/>
          <w:sz w:val="24"/>
          <w:szCs w:val="23"/>
        </w:rPr>
        <w:t>You can't have FP2016 if you already have primary, enhanced, fixed protection 2012 or fixed protection 2014.</w:t>
      </w:r>
    </w:p>
    <w:p w14:paraId="3E6A40B8" w14:textId="77777777" w:rsidR="006460F8" w:rsidRPr="001F332C" w:rsidRDefault="006460F8" w:rsidP="001F332C">
      <w:pPr>
        <w:autoSpaceDE w:val="0"/>
        <w:autoSpaceDN w:val="0"/>
        <w:adjustRightInd w:val="0"/>
        <w:spacing w:after="0" w:line="240" w:lineRule="auto"/>
        <w:rPr>
          <w:rFonts w:ascii="Arial" w:eastAsia="Calibri" w:hAnsi="Arial" w:cs="Arial"/>
          <w:color w:val="000000"/>
          <w:sz w:val="24"/>
          <w:szCs w:val="23"/>
        </w:rPr>
      </w:pPr>
    </w:p>
    <w:p w14:paraId="79ACCB23" w14:textId="31563E3B" w:rsidR="002E2677" w:rsidRPr="001F332C" w:rsidRDefault="006460F8" w:rsidP="001F332C">
      <w:pPr>
        <w:autoSpaceDE w:val="0"/>
        <w:autoSpaceDN w:val="0"/>
        <w:adjustRightInd w:val="0"/>
        <w:spacing w:after="0" w:line="240" w:lineRule="auto"/>
        <w:rPr>
          <w:rFonts w:ascii="Arial" w:eastAsia="Calibri" w:hAnsi="Arial" w:cs="Arial"/>
          <w:color w:val="000000"/>
          <w:sz w:val="24"/>
          <w:szCs w:val="23"/>
        </w:rPr>
      </w:pPr>
      <w:r w:rsidRPr="001F332C">
        <w:rPr>
          <w:rFonts w:ascii="Arial" w:eastAsia="Calibri" w:hAnsi="Arial" w:cs="Arial"/>
          <w:color w:val="000000"/>
          <w:sz w:val="24"/>
          <w:szCs w:val="23"/>
        </w:rPr>
        <w:t xml:space="preserve">With FP2016 your </w:t>
      </w:r>
      <w:r w:rsidR="00D572E9">
        <w:rPr>
          <w:rFonts w:ascii="Arial" w:eastAsia="Calibri" w:hAnsi="Arial" w:cs="Arial"/>
          <w:color w:val="000000"/>
          <w:sz w:val="24"/>
          <w:szCs w:val="23"/>
        </w:rPr>
        <w:t>LTA</w:t>
      </w:r>
      <w:r w:rsidRPr="001F332C">
        <w:rPr>
          <w:rFonts w:ascii="Arial" w:eastAsia="Calibri" w:hAnsi="Arial" w:cs="Arial"/>
          <w:color w:val="000000"/>
          <w:sz w:val="24"/>
          <w:szCs w:val="23"/>
        </w:rPr>
        <w:t xml:space="preserve"> is fixed at £1.25 million rather than the standard </w:t>
      </w:r>
      <w:r w:rsidR="00A67627">
        <w:rPr>
          <w:rFonts w:ascii="Arial" w:eastAsia="Calibri" w:hAnsi="Arial" w:cs="Arial"/>
          <w:color w:val="000000"/>
          <w:sz w:val="24"/>
          <w:szCs w:val="23"/>
        </w:rPr>
        <w:t>LTA</w:t>
      </w:r>
      <w:r w:rsidRPr="001F332C">
        <w:rPr>
          <w:rFonts w:ascii="Arial" w:eastAsia="Calibri" w:hAnsi="Arial" w:cs="Arial"/>
          <w:color w:val="000000"/>
          <w:sz w:val="24"/>
          <w:szCs w:val="23"/>
        </w:rPr>
        <w:t>. The maximum tax-free lump sum you can take on retirement is the lesser of:</w:t>
      </w:r>
    </w:p>
    <w:p w14:paraId="2A2BD707" w14:textId="77777777" w:rsidR="006460F8" w:rsidRDefault="006460F8" w:rsidP="006460F8">
      <w:pPr>
        <w:autoSpaceDE w:val="0"/>
        <w:autoSpaceDN w:val="0"/>
        <w:adjustRightInd w:val="0"/>
        <w:spacing w:after="0" w:line="240" w:lineRule="auto"/>
        <w:jc w:val="both"/>
        <w:rPr>
          <w:rFonts w:ascii="Arial" w:eastAsia="Calibri" w:hAnsi="Arial" w:cs="Arial"/>
          <w:color w:val="000000"/>
          <w:szCs w:val="23"/>
        </w:rPr>
      </w:pPr>
    </w:p>
    <w:p w14:paraId="0C6EA75F" w14:textId="2E1E7AC0" w:rsidR="00EB47DA" w:rsidRPr="001F332C" w:rsidRDefault="00EB47DA" w:rsidP="001F332C">
      <w:pPr>
        <w:pStyle w:val="ListParagraph"/>
        <w:numPr>
          <w:ilvl w:val="0"/>
          <w:numId w:val="45"/>
        </w:numPr>
        <w:autoSpaceDE w:val="0"/>
        <w:autoSpaceDN w:val="0"/>
        <w:adjustRightInd w:val="0"/>
        <w:rPr>
          <w:rFonts w:ascii="Arial" w:eastAsia="Calibri" w:hAnsi="Arial" w:cs="Arial"/>
          <w:color w:val="000000"/>
          <w:sz w:val="24"/>
        </w:rPr>
      </w:pPr>
      <w:r w:rsidRPr="001F332C">
        <w:rPr>
          <w:rFonts w:ascii="Arial" w:eastAsia="Calibri" w:hAnsi="Arial" w:cs="Arial"/>
          <w:color w:val="000000"/>
          <w:sz w:val="24"/>
        </w:rPr>
        <w:t>25% of the capital value of your FPS benefits, or</w:t>
      </w:r>
    </w:p>
    <w:p w14:paraId="0C179B71" w14:textId="491FA99A" w:rsidR="00EB47DA" w:rsidRPr="001F332C" w:rsidRDefault="00EB47DA" w:rsidP="001F332C">
      <w:pPr>
        <w:pStyle w:val="ListParagraph"/>
        <w:numPr>
          <w:ilvl w:val="0"/>
          <w:numId w:val="45"/>
        </w:numPr>
        <w:autoSpaceDE w:val="0"/>
        <w:autoSpaceDN w:val="0"/>
        <w:adjustRightInd w:val="0"/>
        <w:rPr>
          <w:rFonts w:ascii="Arial" w:eastAsia="Calibri" w:hAnsi="Arial" w:cs="Arial"/>
          <w:color w:val="000000"/>
          <w:sz w:val="24"/>
        </w:rPr>
      </w:pPr>
      <w:r w:rsidRPr="001F332C">
        <w:rPr>
          <w:rFonts w:ascii="Arial" w:eastAsia="Calibri" w:hAnsi="Arial" w:cs="Arial"/>
          <w:color w:val="000000"/>
          <w:sz w:val="24"/>
        </w:rPr>
        <w:t xml:space="preserve">25% of the </w:t>
      </w:r>
      <w:r w:rsidR="00D572E9">
        <w:rPr>
          <w:rFonts w:ascii="Arial" w:eastAsia="Calibri" w:hAnsi="Arial" w:cs="Arial"/>
          <w:color w:val="000000"/>
          <w:sz w:val="24"/>
        </w:rPr>
        <w:t>LTA</w:t>
      </w:r>
      <w:r w:rsidRPr="001F332C">
        <w:rPr>
          <w:rFonts w:ascii="Arial" w:eastAsia="Calibri" w:hAnsi="Arial" w:cs="Arial"/>
          <w:color w:val="000000"/>
          <w:sz w:val="24"/>
        </w:rPr>
        <w:t xml:space="preserve"> which, for those with fixed protection, is £312,500 (i.e. 25% of £1.25</w:t>
      </w:r>
      <w:r w:rsidR="00A67627">
        <w:rPr>
          <w:rFonts w:ascii="Arial" w:eastAsia="Calibri" w:hAnsi="Arial" w:cs="Arial"/>
          <w:color w:val="000000"/>
          <w:sz w:val="24"/>
        </w:rPr>
        <w:t xml:space="preserve"> </w:t>
      </w:r>
      <w:r w:rsidRPr="001F332C">
        <w:rPr>
          <w:rFonts w:ascii="Arial" w:eastAsia="Calibri" w:hAnsi="Arial" w:cs="Arial"/>
          <w:color w:val="000000"/>
          <w:sz w:val="24"/>
        </w:rPr>
        <w:t>million), or</w:t>
      </w:r>
    </w:p>
    <w:p w14:paraId="6EE4DE9D" w14:textId="06EE6DBC" w:rsidR="006460F8" w:rsidRPr="001F332C" w:rsidRDefault="00EB47DA" w:rsidP="001F332C">
      <w:pPr>
        <w:pStyle w:val="ListParagraph"/>
        <w:numPr>
          <w:ilvl w:val="0"/>
          <w:numId w:val="45"/>
        </w:numPr>
        <w:autoSpaceDE w:val="0"/>
        <w:autoSpaceDN w:val="0"/>
        <w:adjustRightInd w:val="0"/>
        <w:rPr>
          <w:rFonts w:ascii="Arial" w:eastAsia="Calibri" w:hAnsi="Arial" w:cs="Arial"/>
          <w:color w:val="000000"/>
          <w:sz w:val="24"/>
        </w:rPr>
      </w:pPr>
      <w:r w:rsidRPr="001F332C">
        <w:rPr>
          <w:rFonts w:ascii="Arial" w:eastAsia="Calibri" w:hAnsi="Arial" w:cs="Arial"/>
          <w:color w:val="000000"/>
          <w:sz w:val="24"/>
        </w:rPr>
        <w:t xml:space="preserve">25% of your remaining </w:t>
      </w:r>
      <w:r w:rsidR="00D572E9">
        <w:rPr>
          <w:rFonts w:ascii="Arial" w:eastAsia="Calibri" w:hAnsi="Arial" w:cs="Arial"/>
          <w:color w:val="000000"/>
          <w:sz w:val="24"/>
        </w:rPr>
        <w:t>LTA</w:t>
      </w:r>
      <w:r w:rsidRPr="001F332C">
        <w:rPr>
          <w:rFonts w:ascii="Arial" w:eastAsia="Calibri" w:hAnsi="Arial" w:cs="Arial"/>
          <w:color w:val="000000"/>
          <w:sz w:val="24"/>
        </w:rPr>
        <w:t xml:space="preserve"> if you have previously taken payment of (crystallised) pension benefits</w:t>
      </w:r>
      <w:r w:rsidR="00D572E9">
        <w:rPr>
          <w:rFonts w:ascii="Arial" w:eastAsia="Calibri" w:hAnsi="Arial" w:cs="Arial"/>
          <w:color w:val="000000"/>
          <w:sz w:val="24"/>
        </w:rPr>
        <w:t>,</w:t>
      </w:r>
      <w:r w:rsidRPr="001F332C">
        <w:rPr>
          <w:rFonts w:ascii="Arial" w:eastAsia="Calibri" w:hAnsi="Arial" w:cs="Arial"/>
          <w:color w:val="000000"/>
          <w:sz w:val="24"/>
        </w:rPr>
        <w:t xml:space="preserve"> as you will have already used up some of your </w:t>
      </w:r>
      <w:r w:rsidR="00D572E9">
        <w:rPr>
          <w:rFonts w:ascii="Arial" w:eastAsia="Calibri" w:hAnsi="Arial" w:cs="Arial"/>
          <w:color w:val="000000"/>
          <w:sz w:val="24"/>
        </w:rPr>
        <w:t>LTA</w:t>
      </w:r>
    </w:p>
    <w:p w14:paraId="3209CBC3" w14:textId="77777777" w:rsidR="00EB47DA" w:rsidRPr="00BD51A8" w:rsidRDefault="00EB47DA" w:rsidP="00EB47DA">
      <w:pPr>
        <w:autoSpaceDE w:val="0"/>
        <w:autoSpaceDN w:val="0"/>
        <w:adjustRightInd w:val="0"/>
        <w:spacing w:after="0" w:line="240" w:lineRule="auto"/>
        <w:jc w:val="both"/>
        <w:rPr>
          <w:rFonts w:ascii="Arial" w:eastAsia="Calibri" w:hAnsi="Arial" w:cs="Arial"/>
          <w:color w:val="000000"/>
        </w:rPr>
      </w:pPr>
    </w:p>
    <w:p w14:paraId="0BED990C" w14:textId="77777777" w:rsidR="006460F8" w:rsidRPr="001F332C" w:rsidRDefault="006460F8" w:rsidP="001F332C">
      <w:pPr>
        <w:pStyle w:val="Default"/>
        <w:rPr>
          <w:color w:val="auto"/>
          <w:szCs w:val="22"/>
        </w:rPr>
      </w:pPr>
      <w:r w:rsidRPr="001F332C">
        <w:rPr>
          <w:color w:val="auto"/>
          <w:szCs w:val="22"/>
        </w:rPr>
        <w:t xml:space="preserve">FP2016 is lost if your benefits increase by more than the cost of living increase. As the cost of living increase for the year 2016/17 was zero, any pension </w:t>
      </w:r>
      <w:proofErr w:type="gramStart"/>
      <w:r w:rsidRPr="001F332C">
        <w:rPr>
          <w:color w:val="auto"/>
          <w:szCs w:val="22"/>
        </w:rPr>
        <w:t>build</w:t>
      </w:r>
      <w:proofErr w:type="gramEnd"/>
      <w:r w:rsidRPr="001F332C">
        <w:rPr>
          <w:color w:val="auto"/>
          <w:szCs w:val="22"/>
        </w:rPr>
        <w:t xml:space="preserve"> up, however small, will lead to your pension increasing by more than zero. Therefore, if you applied for and wish to keep FP2016 you would have needed to have opted-out of the FPS with effect from 6 April 2016.</w:t>
      </w:r>
    </w:p>
    <w:p w14:paraId="35150939" w14:textId="77777777" w:rsidR="006460F8" w:rsidRPr="001F332C" w:rsidRDefault="006460F8" w:rsidP="001F332C">
      <w:pPr>
        <w:pStyle w:val="Default"/>
        <w:rPr>
          <w:color w:val="auto"/>
          <w:szCs w:val="22"/>
        </w:rPr>
      </w:pPr>
    </w:p>
    <w:p w14:paraId="030F9B77" w14:textId="4B81F322" w:rsidR="006460F8" w:rsidRDefault="006460F8" w:rsidP="001F332C">
      <w:pPr>
        <w:pStyle w:val="Default"/>
        <w:rPr>
          <w:color w:val="auto"/>
          <w:szCs w:val="22"/>
        </w:rPr>
      </w:pPr>
      <w:r w:rsidRPr="001F332C">
        <w:rPr>
          <w:color w:val="auto"/>
          <w:szCs w:val="22"/>
        </w:rPr>
        <w:t xml:space="preserve">FP2016 will also be lost if you start a new pension arrangement, other than to accept a transfer of existing pension rights, or if you pay contributions into a money purchase pension arrangement, other than to a life assurance policy providing death </w:t>
      </w:r>
      <w:r w:rsidRPr="001F332C">
        <w:rPr>
          <w:color w:val="auto"/>
          <w:szCs w:val="22"/>
        </w:rPr>
        <w:lastRenderedPageBreak/>
        <w:t>benefits that started before 6 April 2006. You will also be subject to restrictions on where and how you can transfer benefits.</w:t>
      </w:r>
    </w:p>
    <w:p w14:paraId="53594447" w14:textId="77777777" w:rsidR="00B2327D" w:rsidRPr="001F332C" w:rsidRDefault="00B2327D" w:rsidP="001F332C">
      <w:pPr>
        <w:pStyle w:val="Default"/>
        <w:rPr>
          <w:color w:val="auto"/>
          <w:szCs w:val="22"/>
        </w:rPr>
      </w:pPr>
    </w:p>
    <w:p w14:paraId="59DE2F2E" w14:textId="0D0B445B" w:rsidR="002E2677" w:rsidRDefault="006460F8" w:rsidP="001F332C">
      <w:pPr>
        <w:pStyle w:val="Default"/>
        <w:rPr>
          <w:color w:val="auto"/>
          <w:sz w:val="22"/>
          <w:szCs w:val="22"/>
        </w:rPr>
      </w:pPr>
      <w:r w:rsidRPr="001F332C">
        <w:rPr>
          <w:color w:val="auto"/>
          <w:szCs w:val="22"/>
        </w:rPr>
        <w:t xml:space="preserve">If you lose fixed protection 2016 you must electronically notify HMRC within 90 days of the day on which you could first reasonably be expected to have known that an </w:t>
      </w:r>
      <w:r w:rsidRPr="001F332C">
        <w:rPr>
          <w:color w:val="auto"/>
        </w:rPr>
        <w:t>event had occurred causing you to have lost this protection. Failure to do so could result in a fine of £300 and a penalty of up to £60 per day after the initial fine has been issued until you supply them with the required notification.</w:t>
      </w:r>
    </w:p>
    <w:p w14:paraId="2A2900F0" w14:textId="77777777" w:rsidR="006460F8" w:rsidRDefault="006460F8" w:rsidP="006460F8">
      <w:pPr>
        <w:pStyle w:val="Default"/>
        <w:jc w:val="both"/>
        <w:rPr>
          <w:b/>
          <w:bCs/>
          <w:sz w:val="23"/>
          <w:szCs w:val="23"/>
        </w:rPr>
      </w:pPr>
    </w:p>
    <w:p w14:paraId="1D44FC60" w14:textId="77777777" w:rsidR="006460F8" w:rsidRDefault="006460F8" w:rsidP="00A40C70">
      <w:pPr>
        <w:pStyle w:val="Heading2"/>
      </w:pPr>
      <w:r w:rsidRPr="005A44B5">
        <w:rPr>
          <w:sz w:val="36"/>
          <w:szCs w:val="28"/>
        </w:rPr>
        <w:t>Applying for Fixed and Individual Protection 2016</w:t>
      </w:r>
    </w:p>
    <w:p w14:paraId="1E07C3BD" w14:textId="2375B914" w:rsidR="006460F8" w:rsidRPr="001F332C" w:rsidRDefault="006460F8" w:rsidP="001F332C">
      <w:pPr>
        <w:pStyle w:val="Default"/>
        <w:rPr>
          <w:bCs/>
          <w:szCs w:val="22"/>
        </w:rPr>
      </w:pPr>
      <w:r w:rsidRPr="001F332C">
        <w:rPr>
          <w:bCs/>
          <w:szCs w:val="22"/>
        </w:rPr>
        <w:t>HMRC have introduced a</w:t>
      </w:r>
      <w:r w:rsidR="00186B38">
        <w:rPr>
          <w:bCs/>
          <w:szCs w:val="22"/>
        </w:rPr>
        <w:t>n</w:t>
      </w:r>
      <w:r w:rsidRPr="001F332C">
        <w:rPr>
          <w:bCs/>
          <w:szCs w:val="22"/>
        </w:rPr>
        <w:t xml:space="preserve"> online self-service for pension scheme members to apply for individual protection 2016 (IP2016) or fixed protection 2016 (FP2016). There is no application deadline for IP2016 or FP2016, however, you must apply before you take your retirement benefits as you will need to provide the HMRC reference number to your pension fund administrator if you want to rely on the protection.</w:t>
      </w:r>
    </w:p>
    <w:p w14:paraId="2AECF68A" w14:textId="77777777" w:rsidR="006460F8" w:rsidRPr="001F332C" w:rsidRDefault="006460F8" w:rsidP="001F332C">
      <w:pPr>
        <w:pStyle w:val="Default"/>
        <w:rPr>
          <w:bCs/>
          <w:szCs w:val="22"/>
        </w:rPr>
      </w:pPr>
    </w:p>
    <w:p w14:paraId="5B1BC556" w14:textId="6C91C51E" w:rsidR="00394944" w:rsidRPr="001F332C" w:rsidRDefault="006460F8" w:rsidP="001F332C">
      <w:pPr>
        <w:pStyle w:val="Default"/>
        <w:rPr>
          <w:bCs/>
          <w:szCs w:val="22"/>
        </w:rPr>
      </w:pPr>
      <w:r w:rsidRPr="001F332C">
        <w:rPr>
          <w:bCs/>
          <w:szCs w:val="22"/>
        </w:rPr>
        <w:t xml:space="preserve">You will no longer receive </w:t>
      </w:r>
      <w:r w:rsidR="00D572E9">
        <w:rPr>
          <w:bCs/>
          <w:szCs w:val="22"/>
        </w:rPr>
        <w:t>an LTA</w:t>
      </w:r>
      <w:r w:rsidRPr="001F332C">
        <w:rPr>
          <w:bCs/>
          <w:szCs w:val="22"/>
        </w:rPr>
        <w:t xml:space="preserve"> protection certificate</w:t>
      </w:r>
      <w:r w:rsidR="00D572E9">
        <w:rPr>
          <w:bCs/>
          <w:szCs w:val="22"/>
        </w:rPr>
        <w:t>.</w:t>
      </w:r>
      <w:r w:rsidRPr="001F332C">
        <w:rPr>
          <w:bCs/>
          <w:szCs w:val="22"/>
        </w:rPr>
        <w:t xml:space="preserve"> </w:t>
      </w:r>
      <w:r w:rsidR="00D572E9">
        <w:rPr>
          <w:bCs/>
          <w:szCs w:val="22"/>
        </w:rPr>
        <w:t>I</w:t>
      </w:r>
      <w:r w:rsidRPr="001F332C">
        <w:rPr>
          <w:bCs/>
          <w:szCs w:val="22"/>
        </w:rPr>
        <w:t>nstead</w:t>
      </w:r>
      <w:r w:rsidR="00D572E9">
        <w:rPr>
          <w:bCs/>
          <w:szCs w:val="22"/>
        </w:rPr>
        <w:t>,</w:t>
      </w:r>
      <w:r w:rsidRPr="001F332C">
        <w:rPr>
          <w:bCs/>
          <w:szCs w:val="22"/>
        </w:rPr>
        <w:t xml:space="preserve"> once you have successfully applied for protection the online service will provide you with a reference number which you will need to keep.</w:t>
      </w:r>
    </w:p>
    <w:p w14:paraId="1C6C3D4B" w14:textId="77777777" w:rsidR="006460F8" w:rsidRPr="001F332C" w:rsidRDefault="006460F8" w:rsidP="001F332C">
      <w:pPr>
        <w:pStyle w:val="Default"/>
        <w:rPr>
          <w:bCs/>
          <w:szCs w:val="22"/>
        </w:rPr>
      </w:pPr>
    </w:p>
    <w:p w14:paraId="7F781A05" w14:textId="2F440B15" w:rsidR="006460F8" w:rsidRPr="001F332C" w:rsidRDefault="006460F8" w:rsidP="001F332C">
      <w:pPr>
        <w:pStyle w:val="Default"/>
        <w:rPr>
          <w:bCs/>
          <w:szCs w:val="22"/>
        </w:rPr>
      </w:pPr>
      <w:r w:rsidRPr="001F332C">
        <w:rPr>
          <w:bCs/>
          <w:szCs w:val="22"/>
        </w:rPr>
        <w:t xml:space="preserve">An example of </w:t>
      </w:r>
      <w:r w:rsidR="00500958">
        <w:rPr>
          <w:bCs/>
          <w:szCs w:val="22"/>
        </w:rPr>
        <w:t>LTA</w:t>
      </w:r>
      <w:r w:rsidRPr="001F332C">
        <w:rPr>
          <w:bCs/>
          <w:szCs w:val="22"/>
        </w:rPr>
        <w:t xml:space="preserve"> protection is shown at </w:t>
      </w:r>
      <w:hyperlink w:anchor="_Appendix_2:_example" w:history="1">
        <w:r w:rsidRPr="001F332C">
          <w:rPr>
            <w:rStyle w:val="Hyperlink"/>
            <w:bCs/>
            <w:szCs w:val="22"/>
          </w:rPr>
          <w:t>Appendix 2</w:t>
        </w:r>
      </w:hyperlink>
      <w:r w:rsidRPr="001F332C">
        <w:rPr>
          <w:bCs/>
          <w:szCs w:val="22"/>
        </w:rPr>
        <w:t>.</w:t>
      </w:r>
    </w:p>
    <w:p w14:paraId="2DD0D2B9" w14:textId="77777777" w:rsidR="006460F8" w:rsidRDefault="006460F8" w:rsidP="006460F8">
      <w:pPr>
        <w:pStyle w:val="Default"/>
        <w:jc w:val="both"/>
        <w:rPr>
          <w:sz w:val="22"/>
          <w:szCs w:val="22"/>
        </w:rPr>
      </w:pPr>
    </w:p>
    <w:p w14:paraId="47012DA2" w14:textId="77777777" w:rsidR="006460F8" w:rsidRDefault="006460F8" w:rsidP="00A40C70">
      <w:pPr>
        <w:pStyle w:val="Heading1"/>
      </w:pPr>
      <w:r w:rsidRPr="006460F8">
        <w:t>Your pension savings may already be protected</w:t>
      </w:r>
    </w:p>
    <w:p w14:paraId="0AB5E752" w14:textId="0F8ADE87" w:rsidR="006460F8" w:rsidRPr="001F332C" w:rsidRDefault="006460F8" w:rsidP="001F332C">
      <w:pPr>
        <w:pStyle w:val="Default"/>
      </w:pPr>
      <w:r w:rsidRPr="001F332C">
        <w:t xml:space="preserve">As mentioned, the </w:t>
      </w:r>
      <w:r w:rsidR="00D572E9">
        <w:t>LTA</w:t>
      </w:r>
      <w:r w:rsidRPr="001F332C">
        <w:t xml:space="preserve"> was introduced in 2006 and was reduced in 2012, 2014 and again more recently in 2016. Each time the </w:t>
      </w:r>
      <w:r w:rsidR="00D572E9">
        <w:t>LTA</w:t>
      </w:r>
      <w:r w:rsidRPr="001F332C">
        <w:t xml:space="preserve"> reduced, if you had already planned your pension savings on the basis of the higher </w:t>
      </w:r>
      <w:r w:rsidR="00D572E9">
        <w:t>LTA</w:t>
      </w:r>
      <w:r w:rsidRPr="001F332C">
        <w:t xml:space="preserve"> you could protect your pension savings by applying to HMRC. If you have applied for a previous protection i.e. enhanced protection, primary protection, fixed protection 2012, individual protection 2014 or fixed protection 2014 you should have received a certificate to confirm your protection.</w:t>
      </w:r>
    </w:p>
    <w:p w14:paraId="7F77DDB2" w14:textId="77777777" w:rsidR="006460F8" w:rsidRPr="001F332C" w:rsidRDefault="006460F8" w:rsidP="001F332C">
      <w:pPr>
        <w:pStyle w:val="Default"/>
      </w:pPr>
    </w:p>
    <w:p w14:paraId="3480FC9C" w14:textId="5D878C33" w:rsidR="006460F8" w:rsidRPr="001F332C" w:rsidRDefault="006460F8" w:rsidP="001F332C">
      <w:pPr>
        <w:pStyle w:val="Default"/>
      </w:pPr>
      <w:r w:rsidRPr="001F332C">
        <w:t>However</w:t>
      </w:r>
      <w:r w:rsidR="00D572E9">
        <w:t>,</w:t>
      </w:r>
      <w:r w:rsidRPr="001F332C">
        <w:t xml:space="preserve"> you may still be subject to the </w:t>
      </w:r>
      <w:r w:rsidR="00D572E9">
        <w:t>LTA</w:t>
      </w:r>
      <w:r w:rsidRPr="001F332C">
        <w:t xml:space="preserve"> charge if you lose this protection.</w:t>
      </w:r>
    </w:p>
    <w:p w14:paraId="5367CBC1" w14:textId="77777777" w:rsidR="006460F8" w:rsidRPr="001F332C" w:rsidRDefault="006460F8" w:rsidP="001F332C">
      <w:pPr>
        <w:pStyle w:val="Default"/>
      </w:pPr>
    </w:p>
    <w:p w14:paraId="50009835" w14:textId="77777777" w:rsidR="006460F8" w:rsidRPr="001F332C" w:rsidRDefault="006460F8" w:rsidP="001F332C">
      <w:pPr>
        <w:pStyle w:val="Default"/>
      </w:pPr>
      <w:r w:rsidRPr="001F332C">
        <w:t xml:space="preserve">You can find more information these protections and when they may be lost at </w:t>
      </w:r>
      <w:hyperlink r:id="rId14" w:history="1">
        <w:r w:rsidRPr="001F332C">
          <w:rPr>
            <w:rStyle w:val="Hyperlink"/>
          </w:rPr>
          <w:t>Tax on your private pension - lifetime allowance</w:t>
        </w:r>
      </w:hyperlink>
      <w:r w:rsidRPr="001F332C">
        <w:t xml:space="preserve"> on the Government’s website.</w:t>
      </w:r>
    </w:p>
    <w:p w14:paraId="22BC0A10" w14:textId="389AB7A0" w:rsidR="00DD761A" w:rsidRPr="007E6E9A" w:rsidRDefault="00DD761A" w:rsidP="00695512">
      <w:pPr>
        <w:spacing w:after="0"/>
        <w:jc w:val="both"/>
        <w:rPr>
          <w:rFonts w:ascii="Arial" w:hAnsi="Arial" w:cs="Arial"/>
          <w:lang w:val="en"/>
        </w:rPr>
      </w:pPr>
    </w:p>
    <w:p w14:paraId="4864F068" w14:textId="77777777" w:rsidR="006460F8" w:rsidRDefault="006460F8" w:rsidP="00A40C70">
      <w:pPr>
        <w:pStyle w:val="Heading1"/>
      </w:pPr>
      <w:r w:rsidRPr="006460F8">
        <w:t>I think I might be affected – what should I do?</w:t>
      </w:r>
    </w:p>
    <w:p w14:paraId="1A7F673D" w14:textId="341A7258" w:rsidR="002F01AC" w:rsidRPr="001F332C" w:rsidRDefault="002F01AC" w:rsidP="001F332C">
      <w:pPr>
        <w:pStyle w:val="Default"/>
      </w:pPr>
      <w:r w:rsidRPr="001F332C">
        <w:t xml:space="preserve">Before considering any action to </w:t>
      </w:r>
      <w:r w:rsidR="009C3708">
        <w:t>manage</w:t>
      </w:r>
      <w:r w:rsidR="009C3708" w:rsidRPr="001F332C">
        <w:t xml:space="preserve"> </w:t>
      </w:r>
      <w:r w:rsidRPr="001F332C">
        <w:t xml:space="preserve">your tax liabilities you should always seek independent financial advice from an FCA registered adviser. For help in choosing an independent financial adviser visit the </w:t>
      </w:r>
      <w:hyperlink r:id="rId15" w:history="1">
        <w:r w:rsidRPr="001F332C">
          <w:rPr>
            <w:rStyle w:val="Hyperlink"/>
          </w:rPr>
          <w:t>money advice website</w:t>
        </w:r>
      </w:hyperlink>
      <w:r w:rsidRPr="001F332C">
        <w:t>.</w:t>
      </w:r>
    </w:p>
    <w:p w14:paraId="749701E0" w14:textId="77777777" w:rsidR="00803BEE" w:rsidRPr="001F332C" w:rsidRDefault="00803BEE" w:rsidP="001F332C">
      <w:pPr>
        <w:pStyle w:val="Default"/>
      </w:pPr>
    </w:p>
    <w:p w14:paraId="47248D6E" w14:textId="77777777" w:rsidR="00820635" w:rsidRPr="00D94139" w:rsidRDefault="00820635" w:rsidP="00D94139">
      <w:pPr>
        <w:spacing w:after="0" w:line="240" w:lineRule="auto"/>
        <w:rPr>
          <w:rFonts w:ascii="Arial" w:eastAsia="Times New Roman" w:hAnsi="Arial" w:cs="Arial"/>
          <w:sz w:val="24"/>
          <w:szCs w:val="24"/>
          <w:lang w:eastAsia="en-GB"/>
        </w:rPr>
      </w:pPr>
      <w:r w:rsidRPr="001F332C">
        <w:rPr>
          <w:rFonts w:ascii="Arial" w:eastAsia="Times New Roman" w:hAnsi="Arial" w:cs="Arial"/>
          <w:sz w:val="24"/>
          <w:szCs w:val="24"/>
          <w:lang w:eastAsia="en-GB"/>
        </w:rPr>
        <w:t xml:space="preserve">There are certain considerations that you may wish to </w:t>
      </w:r>
      <w:proofErr w:type="gramStart"/>
      <w:r w:rsidRPr="001F332C">
        <w:rPr>
          <w:rFonts w:ascii="Arial" w:eastAsia="Times New Roman" w:hAnsi="Arial" w:cs="Arial"/>
          <w:sz w:val="24"/>
          <w:szCs w:val="24"/>
          <w:lang w:eastAsia="en-GB"/>
        </w:rPr>
        <w:t>take into account</w:t>
      </w:r>
      <w:proofErr w:type="gramEnd"/>
      <w:r w:rsidRPr="001F332C">
        <w:rPr>
          <w:rFonts w:ascii="Arial" w:eastAsia="Times New Roman" w:hAnsi="Arial" w:cs="Arial"/>
          <w:sz w:val="24"/>
          <w:szCs w:val="24"/>
          <w:lang w:eastAsia="en-GB"/>
        </w:rPr>
        <w:t>:</w:t>
      </w:r>
    </w:p>
    <w:p w14:paraId="6052A02F" w14:textId="77777777" w:rsidR="00820635" w:rsidRPr="001F332C" w:rsidRDefault="00820635" w:rsidP="00D94139">
      <w:pPr>
        <w:spacing w:after="0" w:line="240" w:lineRule="auto"/>
        <w:rPr>
          <w:rFonts w:ascii="Arial" w:eastAsia="Times New Roman" w:hAnsi="Arial" w:cs="Arial"/>
          <w:sz w:val="24"/>
          <w:szCs w:val="24"/>
          <w:lang w:eastAsia="en-GB"/>
        </w:rPr>
      </w:pPr>
    </w:p>
    <w:p w14:paraId="5CD80224" w14:textId="5182A0B7" w:rsidR="00820635" w:rsidRPr="001F332C" w:rsidRDefault="00820635" w:rsidP="001F332C">
      <w:pPr>
        <w:pStyle w:val="ListParagraph"/>
        <w:numPr>
          <w:ilvl w:val="0"/>
          <w:numId w:val="44"/>
        </w:numPr>
        <w:contextualSpacing/>
        <w:rPr>
          <w:rFonts w:ascii="Arial" w:eastAsia="Times New Roman" w:hAnsi="Arial" w:cs="Arial"/>
          <w:sz w:val="24"/>
          <w:szCs w:val="24"/>
        </w:rPr>
      </w:pPr>
      <w:r w:rsidRPr="001F332C">
        <w:rPr>
          <w:rFonts w:ascii="Arial" w:eastAsia="Times New Roman" w:hAnsi="Arial" w:cs="Arial"/>
          <w:sz w:val="24"/>
          <w:szCs w:val="24"/>
        </w:rPr>
        <w:t>Converting annual pension for lump sum at retirement can reduce</w:t>
      </w:r>
      <w:r w:rsidR="002F0430" w:rsidRPr="001F332C">
        <w:rPr>
          <w:rFonts w:ascii="Arial" w:eastAsia="Times New Roman" w:hAnsi="Arial" w:cs="Arial"/>
          <w:sz w:val="24"/>
          <w:szCs w:val="24"/>
        </w:rPr>
        <w:t xml:space="preserve"> or increase</w:t>
      </w:r>
      <w:r w:rsidRPr="001F332C">
        <w:rPr>
          <w:rFonts w:ascii="Arial" w:eastAsia="Times New Roman" w:hAnsi="Arial" w:cs="Arial"/>
          <w:sz w:val="24"/>
          <w:szCs w:val="24"/>
        </w:rPr>
        <w:t xml:space="preserve"> the capital value of your pension benefits</w:t>
      </w:r>
    </w:p>
    <w:p w14:paraId="21C1A88D" w14:textId="562EFE20" w:rsidR="009C3708" w:rsidRPr="00B2327D" w:rsidRDefault="00820635" w:rsidP="00B2327D">
      <w:pPr>
        <w:pStyle w:val="ListParagraph"/>
        <w:numPr>
          <w:ilvl w:val="0"/>
          <w:numId w:val="44"/>
        </w:numPr>
        <w:contextualSpacing/>
        <w:rPr>
          <w:rFonts w:ascii="Arial" w:eastAsia="Times New Roman" w:hAnsi="Arial" w:cs="Arial"/>
          <w:sz w:val="24"/>
          <w:szCs w:val="24"/>
        </w:rPr>
      </w:pPr>
      <w:r w:rsidRPr="001F332C">
        <w:rPr>
          <w:rFonts w:ascii="Arial" w:eastAsia="Times New Roman" w:hAnsi="Arial" w:cs="Arial"/>
          <w:sz w:val="24"/>
          <w:szCs w:val="24"/>
        </w:rPr>
        <w:t>If you opt out of the FPS with the right to a deferred benefit you may not be able to draw this until later than you had expected</w:t>
      </w:r>
      <w:r w:rsidR="009C3708">
        <w:br w:type="page"/>
      </w:r>
    </w:p>
    <w:p w14:paraId="2E25CCFA" w14:textId="1F5F3003" w:rsidR="00394944" w:rsidRPr="00980451" w:rsidRDefault="00394944" w:rsidP="00A40C70">
      <w:pPr>
        <w:pStyle w:val="Heading1"/>
      </w:pPr>
      <w:r w:rsidRPr="00980451">
        <w:lastRenderedPageBreak/>
        <w:t>More information</w:t>
      </w:r>
    </w:p>
    <w:p w14:paraId="7B354B8A" w14:textId="71CDDB42" w:rsidR="00394944" w:rsidRPr="001F332C" w:rsidRDefault="00394944" w:rsidP="001F332C">
      <w:pPr>
        <w:spacing w:after="0" w:line="240" w:lineRule="auto"/>
        <w:rPr>
          <w:rFonts w:ascii="Arial" w:eastAsia="Times New Roman" w:hAnsi="Arial" w:cs="Arial"/>
          <w:sz w:val="24"/>
          <w:szCs w:val="24"/>
          <w:lang w:eastAsia="en-GB"/>
        </w:rPr>
      </w:pPr>
      <w:r w:rsidRPr="001F332C">
        <w:rPr>
          <w:rFonts w:ascii="Arial" w:eastAsia="Times New Roman" w:hAnsi="Arial" w:cs="Arial"/>
          <w:sz w:val="24"/>
          <w:szCs w:val="24"/>
          <w:lang w:eastAsia="en-GB"/>
        </w:rPr>
        <w:t xml:space="preserve">If you have any questions about your </w:t>
      </w:r>
      <w:r w:rsidR="00980451" w:rsidRPr="001F332C">
        <w:rPr>
          <w:rFonts w:ascii="Arial" w:eastAsia="Times New Roman" w:hAnsi="Arial" w:cs="Arial"/>
          <w:sz w:val="24"/>
          <w:szCs w:val="24"/>
          <w:lang w:eastAsia="en-GB"/>
        </w:rPr>
        <w:t>FPS</w:t>
      </w:r>
      <w:r w:rsidRPr="001F332C">
        <w:rPr>
          <w:rFonts w:ascii="Arial" w:eastAsia="Times New Roman" w:hAnsi="Arial" w:cs="Arial"/>
          <w:sz w:val="24"/>
          <w:szCs w:val="24"/>
          <w:lang w:eastAsia="en-GB"/>
        </w:rPr>
        <w:t xml:space="preserve"> membership or benefits, please contact:</w:t>
      </w:r>
    </w:p>
    <w:p w14:paraId="469FDA3A" w14:textId="77777777" w:rsidR="00394944" w:rsidRPr="00D94139" w:rsidRDefault="00394944" w:rsidP="00D94139">
      <w:pPr>
        <w:spacing w:after="0" w:line="240" w:lineRule="auto"/>
        <w:rPr>
          <w:rFonts w:ascii="Arial" w:eastAsia="Times New Roman" w:hAnsi="Arial" w:cs="Arial"/>
          <w:sz w:val="24"/>
          <w:szCs w:val="24"/>
          <w:lang w:eastAsia="en-GB"/>
        </w:rPr>
      </w:pPr>
    </w:p>
    <w:p w14:paraId="7D83CEE4" w14:textId="107B9542" w:rsidR="00394944" w:rsidRPr="001F332C" w:rsidRDefault="00980451" w:rsidP="00D94139">
      <w:pPr>
        <w:spacing w:after="0" w:line="240" w:lineRule="auto"/>
        <w:rPr>
          <w:rFonts w:ascii="Arial" w:eastAsia="Times New Roman" w:hAnsi="Arial" w:cs="Arial"/>
          <w:sz w:val="24"/>
          <w:szCs w:val="24"/>
          <w:lang w:eastAsia="en-GB"/>
        </w:rPr>
      </w:pPr>
      <w:r w:rsidRPr="001F332C">
        <w:rPr>
          <w:rFonts w:ascii="Arial" w:eastAsia="Times New Roman" w:hAnsi="Arial" w:cs="Arial"/>
          <w:sz w:val="24"/>
          <w:szCs w:val="24"/>
          <w:highlight w:val="yellow"/>
          <w:lang w:eastAsia="en-GB"/>
        </w:rPr>
        <w:t>Administrator</w:t>
      </w:r>
      <w:r w:rsidR="00394944" w:rsidRPr="001F332C">
        <w:rPr>
          <w:rFonts w:ascii="Arial" w:eastAsia="Times New Roman" w:hAnsi="Arial" w:cs="Arial"/>
          <w:sz w:val="24"/>
          <w:szCs w:val="24"/>
          <w:highlight w:val="yellow"/>
          <w:lang w:eastAsia="en-GB"/>
        </w:rPr>
        <w:t xml:space="preserve"> to enter their own details.</w:t>
      </w:r>
      <w:r w:rsidR="00394944" w:rsidRPr="001F332C">
        <w:rPr>
          <w:rFonts w:ascii="Arial" w:eastAsia="Times New Roman" w:hAnsi="Arial" w:cs="Arial"/>
          <w:sz w:val="24"/>
          <w:szCs w:val="24"/>
          <w:lang w:eastAsia="en-GB"/>
        </w:rPr>
        <w:t xml:space="preserve"> </w:t>
      </w:r>
    </w:p>
    <w:p w14:paraId="1BABF2C5" w14:textId="77777777" w:rsidR="00980451" w:rsidRPr="002E2677" w:rsidRDefault="00980451" w:rsidP="0049140A">
      <w:pPr>
        <w:pStyle w:val="Default"/>
        <w:spacing w:after="240"/>
        <w:jc w:val="both"/>
        <w:rPr>
          <w:sz w:val="22"/>
          <w:szCs w:val="22"/>
        </w:rPr>
      </w:pPr>
    </w:p>
    <w:p w14:paraId="2E8D2FC9" w14:textId="77777777" w:rsidR="00980451" w:rsidRPr="00980451" w:rsidRDefault="00980451" w:rsidP="00A40C70">
      <w:pPr>
        <w:pStyle w:val="Heading1"/>
      </w:pPr>
      <w:r w:rsidRPr="00980451">
        <w:t>Disclaimer</w:t>
      </w:r>
    </w:p>
    <w:p w14:paraId="2FEDF939" w14:textId="7428B065" w:rsidR="00980451" w:rsidRPr="001F332C" w:rsidRDefault="00980451" w:rsidP="001F332C">
      <w:pPr>
        <w:rPr>
          <w:rFonts w:ascii="Arial" w:hAnsi="Arial" w:cs="Arial"/>
          <w:sz w:val="24"/>
        </w:rPr>
      </w:pPr>
      <w:r w:rsidRPr="001F332C">
        <w:rPr>
          <w:rFonts w:ascii="Arial" w:hAnsi="Arial" w:cs="Arial"/>
          <w:sz w:val="24"/>
        </w:rPr>
        <w:t xml:space="preserve">This factsheet provides an overview of the </w:t>
      </w:r>
      <w:r w:rsidR="00500958">
        <w:rPr>
          <w:rFonts w:ascii="Arial" w:hAnsi="Arial" w:cs="Arial"/>
          <w:sz w:val="24"/>
        </w:rPr>
        <w:t xml:space="preserve">LTA </w:t>
      </w:r>
      <w:r w:rsidRPr="001F332C">
        <w:rPr>
          <w:rFonts w:ascii="Arial" w:hAnsi="Arial" w:cs="Arial"/>
          <w:sz w:val="24"/>
        </w:rPr>
        <w:t>rules as at April 20</w:t>
      </w:r>
      <w:r w:rsidR="00C14F50">
        <w:rPr>
          <w:rFonts w:ascii="Arial" w:hAnsi="Arial" w:cs="Arial"/>
          <w:sz w:val="24"/>
        </w:rPr>
        <w:t>20</w:t>
      </w:r>
      <w:r w:rsidRPr="001F332C">
        <w:rPr>
          <w:rFonts w:ascii="Arial" w:hAnsi="Arial" w:cs="Arial"/>
          <w:sz w:val="24"/>
        </w:rPr>
        <w:t xml:space="preserve">. It should not be treated as a complete and authoritative statement of the law. The rules governing </w:t>
      </w:r>
      <w:r w:rsidR="002F01AC" w:rsidRPr="001F332C">
        <w:rPr>
          <w:rFonts w:ascii="Arial" w:hAnsi="Arial" w:cs="Arial"/>
          <w:sz w:val="24"/>
        </w:rPr>
        <w:t>LTA</w:t>
      </w:r>
      <w:r w:rsidRPr="001F332C">
        <w:rPr>
          <w:rFonts w:ascii="Arial" w:hAnsi="Arial" w:cs="Arial"/>
          <w:sz w:val="24"/>
        </w:rPr>
        <w:t xml:space="preserve"> can be complex and are subject to change.</w:t>
      </w:r>
    </w:p>
    <w:p w14:paraId="577EC1DE" w14:textId="77777777" w:rsidR="00980451" w:rsidRPr="001F332C" w:rsidRDefault="00980451" w:rsidP="001F332C">
      <w:pPr>
        <w:rPr>
          <w:rFonts w:ascii="Arial" w:hAnsi="Arial" w:cs="Arial"/>
          <w:sz w:val="24"/>
        </w:rPr>
      </w:pPr>
      <w:r w:rsidRPr="001F332C">
        <w:rPr>
          <w:rFonts w:ascii="Arial" w:hAnsi="Arial" w:cs="Arial"/>
          <w:sz w:val="24"/>
        </w:rPr>
        <w:t xml:space="preserve">If you are unsure how to proceed, you are advised to obtain independent financial advice. For help in choosing an independent financial advisor you can visit the </w:t>
      </w:r>
      <w:hyperlink r:id="rId16" w:history="1">
        <w:r w:rsidRPr="001F332C">
          <w:rPr>
            <w:rStyle w:val="Hyperlink"/>
            <w:rFonts w:ascii="Arial" w:hAnsi="Arial" w:cs="Arial"/>
            <w:sz w:val="24"/>
          </w:rPr>
          <w:t>money advice website</w:t>
        </w:r>
      </w:hyperlink>
      <w:r w:rsidRPr="001F332C">
        <w:rPr>
          <w:rFonts w:ascii="Arial" w:hAnsi="Arial" w:cs="Arial"/>
          <w:sz w:val="24"/>
        </w:rPr>
        <w:t xml:space="preserve">. </w:t>
      </w:r>
    </w:p>
    <w:p w14:paraId="34E04A66" w14:textId="44ADE3EE" w:rsidR="00980451" w:rsidRPr="001F332C" w:rsidRDefault="00980451" w:rsidP="001F332C">
      <w:pPr>
        <w:rPr>
          <w:rFonts w:ascii="Arial" w:hAnsi="Arial" w:cs="Arial"/>
          <w:sz w:val="24"/>
        </w:rPr>
      </w:pPr>
      <w:r w:rsidRPr="001F332C">
        <w:rPr>
          <w:rFonts w:ascii="Arial" w:hAnsi="Arial" w:cs="Arial"/>
          <w:sz w:val="24"/>
        </w:rPr>
        <w:t>Some of the examples shown in the appendix have been rounded to the nearest whole pound in order to simplify the calculations.</w:t>
      </w:r>
    </w:p>
    <w:p w14:paraId="68E34F3E" w14:textId="77777777" w:rsidR="00820635" w:rsidRDefault="00820635" w:rsidP="00980451">
      <w:pPr>
        <w:jc w:val="both"/>
        <w:rPr>
          <w:rFonts w:ascii="Arial" w:hAnsi="Arial" w:cs="Arial"/>
        </w:rPr>
      </w:pPr>
    </w:p>
    <w:p w14:paraId="7363E7C5" w14:textId="77777777" w:rsidR="00820635" w:rsidRDefault="00820635" w:rsidP="00980451">
      <w:pPr>
        <w:jc w:val="both"/>
        <w:rPr>
          <w:rFonts w:ascii="Arial" w:hAnsi="Arial" w:cs="Arial"/>
        </w:rPr>
      </w:pPr>
    </w:p>
    <w:p w14:paraId="5ABF6022" w14:textId="77777777" w:rsidR="00820635" w:rsidRDefault="00820635" w:rsidP="00980451">
      <w:pPr>
        <w:jc w:val="both"/>
        <w:rPr>
          <w:rFonts w:ascii="Arial" w:hAnsi="Arial" w:cs="Arial"/>
        </w:rPr>
      </w:pPr>
    </w:p>
    <w:p w14:paraId="7AD7E405" w14:textId="77777777" w:rsidR="00820635" w:rsidRDefault="00820635" w:rsidP="00980451">
      <w:pPr>
        <w:jc w:val="both"/>
        <w:rPr>
          <w:rFonts w:ascii="Arial" w:hAnsi="Arial" w:cs="Arial"/>
        </w:rPr>
      </w:pPr>
    </w:p>
    <w:p w14:paraId="475394B1" w14:textId="77777777" w:rsidR="00820635" w:rsidRDefault="00820635" w:rsidP="00980451">
      <w:pPr>
        <w:jc w:val="both"/>
        <w:rPr>
          <w:rFonts w:ascii="Arial" w:hAnsi="Arial" w:cs="Arial"/>
        </w:rPr>
      </w:pPr>
    </w:p>
    <w:p w14:paraId="6C7C3452" w14:textId="77777777" w:rsidR="00820635" w:rsidRDefault="00820635" w:rsidP="00980451">
      <w:pPr>
        <w:jc w:val="both"/>
        <w:rPr>
          <w:rFonts w:ascii="Arial" w:hAnsi="Arial" w:cs="Arial"/>
        </w:rPr>
      </w:pPr>
    </w:p>
    <w:p w14:paraId="73F02ED0" w14:textId="77777777" w:rsidR="00820635" w:rsidRDefault="00820635" w:rsidP="00980451">
      <w:pPr>
        <w:jc w:val="both"/>
        <w:rPr>
          <w:rFonts w:ascii="Arial" w:hAnsi="Arial" w:cs="Arial"/>
        </w:rPr>
      </w:pPr>
    </w:p>
    <w:p w14:paraId="6040D9AC" w14:textId="77777777" w:rsidR="00820635" w:rsidRDefault="00820635" w:rsidP="00980451">
      <w:pPr>
        <w:jc w:val="both"/>
        <w:rPr>
          <w:rFonts w:ascii="Arial" w:hAnsi="Arial" w:cs="Arial"/>
        </w:rPr>
      </w:pPr>
    </w:p>
    <w:p w14:paraId="32EB7BEB" w14:textId="77777777" w:rsidR="00820635" w:rsidRDefault="00820635" w:rsidP="00980451">
      <w:pPr>
        <w:jc w:val="both"/>
        <w:rPr>
          <w:rFonts w:ascii="Arial" w:hAnsi="Arial" w:cs="Arial"/>
        </w:rPr>
      </w:pPr>
    </w:p>
    <w:p w14:paraId="0EFDB772" w14:textId="77777777" w:rsidR="00820635" w:rsidRDefault="00820635" w:rsidP="00980451">
      <w:pPr>
        <w:jc w:val="both"/>
        <w:rPr>
          <w:rFonts w:ascii="Arial" w:hAnsi="Arial" w:cs="Arial"/>
        </w:rPr>
      </w:pPr>
    </w:p>
    <w:p w14:paraId="3673586C" w14:textId="77777777" w:rsidR="00820635" w:rsidRDefault="00820635" w:rsidP="00980451">
      <w:pPr>
        <w:jc w:val="both"/>
        <w:rPr>
          <w:rFonts w:ascii="Arial" w:hAnsi="Arial" w:cs="Arial"/>
        </w:rPr>
      </w:pPr>
    </w:p>
    <w:p w14:paraId="0213F012" w14:textId="77777777" w:rsidR="00820635" w:rsidRDefault="00820635" w:rsidP="00980451">
      <w:pPr>
        <w:jc w:val="both"/>
        <w:rPr>
          <w:rFonts w:ascii="Arial" w:hAnsi="Arial" w:cs="Arial"/>
        </w:rPr>
      </w:pPr>
    </w:p>
    <w:p w14:paraId="51ED84EE" w14:textId="77777777" w:rsidR="00820635" w:rsidRDefault="00820635" w:rsidP="00980451">
      <w:pPr>
        <w:jc w:val="both"/>
        <w:rPr>
          <w:rFonts w:ascii="Arial" w:hAnsi="Arial" w:cs="Arial"/>
        </w:rPr>
      </w:pPr>
    </w:p>
    <w:p w14:paraId="2011869E" w14:textId="77777777" w:rsidR="00820635" w:rsidRDefault="00820635" w:rsidP="00980451">
      <w:pPr>
        <w:jc w:val="both"/>
        <w:rPr>
          <w:rFonts w:ascii="Arial" w:hAnsi="Arial" w:cs="Arial"/>
        </w:rPr>
      </w:pPr>
    </w:p>
    <w:p w14:paraId="5B6611F2" w14:textId="77777777" w:rsidR="00820635" w:rsidRDefault="00820635" w:rsidP="00980451">
      <w:pPr>
        <w:jc w:val="both"/>
        <w:rPr>
          <w:rFonts w:ascii="Arial" w:hAnsi="Arial" w:cs="Arial"/>
        </w:rPr>
      </w:pPr>
    </w:p>
    <w:p w14:paraId="75CB53BE" w14:textId="77777777" w:rsidR="00820635" w:rsidRDefault="00820635" w:rsidP="00980451">
      <w:pPr>
        <w:jc w:val="both"/>
        <w:rPr>
          <w:rFonts w:ascii="Arial" w:hAnsi="Arial" w:cs="Arial"/>
        </w:rPr>
      </w:pPr>
    </w:p>
    <w:p w14:paraId="14589045" w14:textId="77777777" w:rsidR="00820635" w:rsidRDefault="00820635" w:rsidP="00980451">
      <w:pPr>
        <w:jc w:val="both"/>
        <w:rPr>
          <w:rFonts w:ascii="Arial" w:hAnsi="Arial" w:cs="Arial"/>
        </w:rPr>
      </w:pPr>
    </w:p>
    <w:p w14:paraId="24A35E71" w14:textId="77777777" w:rsidR="00820635" w:rsidRDefault="00820635" w:rsidP="00980451">
      <w:pPr>
        <w:jc w:val="both"/>
        <w:rPr>
          <w:rFonts w:ascii="Arial" w:hAnsi="Arial" w:cs="Arial"/>
        </w:rPr>
      </w:pPr>
    </w:p>
    <w:p w14:paraId="2A6AD172" w14:textId="77777777" w:rsidR="00820635" w:rsidRDefault="00820635" w:rsidP="00980451">
      <w:pPr>
        <w:jc w:val="both"/>
        <w:rPr>
          <w:rFonts w:ascii="Arial" w:hAnsi="Arial" w:cs="Arial"/>
        </w:rPr>
      </w:pPr>
    </w:p>
    <w:p w14:paraId="5EF1C553" w14:textId="77777777" w:rsidR="00820635" w:rsidRDefault="00820635" w:rsidP="00980451">
      <w:pPr>
        <w:jc w:val="both"/>
        <w:rPr>
          <w:rFonts w:ascii="Arial" w:hAnsi="Arial" w:cs="Arial"/>
        </w:rPr>
      </w:pPr>
    </w:p>
    <w:p w14:paraId="2AF01C5C" w14:textId="4FBCD590" w:rsidR="008F57CD" w:rsidRPr="00980451" w:rsidRDefault="008F57CD" w:rsidP="00A40C70">
      <w:pPr>
        <w:pStyle w:val="Heading1"/>
      </w:pPr>
      <w:bookmarkStart w:id="3" w:name="_Appendix_1:_example"/>
      <w:bookmarkEnd w:id="3"/>
      <w:r>
        <w:lastRenderedPageBreak/>
        <w:t xml:space="preserve">Appendix 1: </w:t>
      </w:r>
      <w:r w:rsidR="002F01AC">
        <w:t>example LTA</w:t>
      </w:r>
      <w:r w:rsidRPr="00980451">
        <w:t xml:space="preserve"> calculations</w:t>
      </w:r>
      <w:r w:rsidRPr="00980451">
        <w:tab/>
      </w:r>
    </w:p>
    <w:p w14:paraId="05017CDA" w14:textId="77777777" w:rsidR="008F57CD" w:rsidRPr="00BD51A8" w:rsidRDefault="008F57CD" w:rsidP="008F57CD">
      <w:pPr>
        <w:autoSpaceDE w:val="0"/>
        <w:autoSpaceDN w:val="0"/>
        <w:adjustRightInd w:val="0"/>
        <w:spacing w:after="0" w:line="240" w:lineRule="auto"/>
        <w:jc w:val="both"/>
        <w:rPr>
          <w:rFonts w:ascii="Arial" w:eastAsia="Calibri" w:hAnsi="Arial" w:cs="Arial"/>
          <w:color w:val="000000"/>
        </w:rPr>
      </w:pPr>
    </w:p>
    <w:p w14:paraId="350B346F" w14:textId="77777777" w:rsidR="00E62860" w:rsidRPr="001F332C" w:rsidRDefault="00E62860" w:rsidP="00E62860">
      <w:pPr>
        <w:autoSpaceDE w:val="0"/>
        <w:autoSpaceDN w:val="0"/>
        <w:adjustRightInd w:val="0"/>
        <w:spacing w:after="0" w:line="240" w:lineRule="auto"/>
        <w:jc w:val="both"/>
        <w:rPr>
          <w:rFonts w:ascii="Arial" w:eastAsia="Calibri" w:hAnsi="Arial" w:cs="Arial"/>
          <w:b/>
          <w:color w:val="000000"/>
          <w:sz w:val="24"/>
          <w:szCs w:val="24"/>
        </w:rPr>
      </w:pPr>
      <w:r w:rsidRPr="001F332C">
        <w:rPr>
          <w:rFonts w:ascii="Arial" w:eastAsia="Calibri" w:hAnsi="Arial" w:cs="Arial"/>
          <w:b/>
          <w:color w:val="000000"/>
          <w:sz w:val="24"/>
          <w:szCs w:val="24"/>
        </w:rPr>
        <w:t>Example 1</w:t>
      </w:r>
    </w:p>
    <w:p w14:paraId="09E754B4" w14:textId="77777777" w:rsidR="00E62860" w:rsidRPr="001F332C" w:rsidRDefault="00E62860" w:rsidP="00E62860">
      <w:pPr>
        <w:autoSpaceDE w:val="0"/>
        <w:autoSpaceDN w:val="0"/>
        <w:adjustRightInd w:val="0"/>
        <w:spacing w:after="0" w:line="240" w:lineRule="auto"/>
        <w:jc w:val="both"/>
        <w:rPr>
          <w:rFonts w:ascii="Arial" w:eastAsia="Calibri" w:hAnsi="Arial" w:cs="Arial"/>
          <w:color w:val="000000"/>
          <w:sz w:val="24"/>
          <w:szCs w:val="24"/>
          <w:highlight w:val="yellow"/>
        </w:rPr>
      </w:pPr>
    </w:p>
    <w:tbl>
      <w:tblPr>
        <w:tblStyle w:val="GridTable4-Accent6"/>
        <w:tblW w:w="9067" w:type="dxa"/>
        <w:tblLook w:val="04A0" w:firstRow="1" w:lastRow="0" w:firstColumn="1" w:lastColumn="0" w:noHBand="0" w:noVBand="1"/>
      </w:tblPr>
      <w:tblGrid>
        <w:gridCol w:w="4928"/>
        <w:gridCol w:w="2693"/>
        <w:gridCol w:w="1446"/>
      </w:tblGrid>
      <w:tr w:rsidR="00E62860" w:rsidRPr="00C14F50" w14:paraId="17BEC695" w14:textId="77777777" w:rsidTr="00E62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0AA930B8" w14:textId="1C6635ED" w:rsidR="00E62860" w:rsidRPr="001F332C" w:rsidRDefault="00E62860" w:rsidP="00682DE4">
            <w:pPr>
              <w:autoSpaceDE w:val="0"/>
              <w:autoSpaceDN w:val="0"/>
              <w:adjustRightInd w:val="0"/>
              <w:spacing w:before="40" w:after="40"/>
              <w:jc w:val="both"/>
              <w:rPr>
                <w:rFonts w:ascii="Arial" w:eastAsia="Calibri" w:hAnsi="Arial" w:cs="Arial"/>
                <w:color w:val="FFFFFF"/>
                <w:sz w:val="24"/>
                <w:szCs w:val="24"/>
              </w:rPr>
            </w:pPr>
            <w:r w:rsidRPr="005A44B5">
              <w:rPr>
                <w:rFonts w:ascii="Arial" w:eastAsia="Calibri" w:hAnsi="Arial" w:cs="Arial"/>
                <w:color w:val="auto"/>
                <w:sz w:val="24"/>
                <w:szCs w:val="24"/>
              </w:rPr>
              <w:t>Simon retires on 30 June 20</w:t>
            </w:r>
            <w:r w:rsidR="00680072" w:rsidRPr="005A44B5">
              <w:rPr>
                <w:rFonts w:ascii="Arial" w:eastAsia="Calibri" w:hAnsi="Arial" w:cs="Arial"/>
                <w:color w:val="auto"/>
                <w:sz w:val="24"/>
                <w:szCs w:val="24"/>
              </w:rPr>
              <w:t>20</w:t>
            </w:r>
            <w:r w:rsidRPr="005A44B5">
              <w:rPr>
                <w:rFonts w:ascii="Arial" w:eastAsia="Calibri" w:hAnsi="Arial" w:cs="Arial"/>
                <w:color w:val="auto"/>
                <w:sz w:val="24"/>
                <w:szCs w:val="24"/>
              </w:rPr>
              <w:t xml:space="preserve"> from FPS1992 with 30 years’ service</w:t>
            </w:r>
          </w:p>
        </w:tc>
      </w:tr>
      <w:tr w:rsidR="00E62860" w:rsidRPr="00C14F50" w14:paraId="7FF8B4B6"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CD4FD67"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Final Pensionable Pay</w:t>
            </w:r>
          </w:p>
        </w:tc>
        <w:tc>
          <w:tcPr>
            <w:tcW w:w="2693" w:type="dxa"/>
          </w:tcPr>
          <w:p w14:paraId="6209FF87" w14:textId="77777777"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1446" w:type="dxa"/>
          </w:tcPr>
          <w:p w14:paraId="349CD734" w14:textId="39F11C28"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£37,</w:t>
            </w:r>
            <w:r w:rsidR="00682DE4" w:rsidRPr="001F332C">
              <w:rPr>
                <w:rFonts w:ascii="Arial" w:eastAsia="Calibri" w:hAnsi="Arial" w:cs="Arial"/>
                <w:color w:val="000000"/>
                <w:sz w:val="24"/>
                <w:szCs w:val="24"/>
              </w:rPr>
              <w:t>854</w:t>
            </w:r>
          </w:p>
        </w:tc>
      </w:tr>
      <w:tr w:rsidR="00E62860" w:rsidRPr="00C14F50" w14:paraId="2C57E905" w14:textId="77777777" w:rsidTr="00E62860">
        <w:tc>
          <w:tcPr>
            <w:cnfStyle w:val="001000000000" w:firstRow="0" w:lastRow="0" w:firstColumn="1" w:lastColumn="0" w:oddVBand="0" w:evenVBand="0" w:oddHBand="0" w:evenHBand="0" w:firstRowFirstColumn="0" w:firstRowLastColumn="0" w:lastRowFirstColumn="0" w:lastRowLastColumn="0"/>
            <w:tcW w:w="4928" w:type="dxa"/>
          </w:tcPr>
          <w:p w14:paraId="0339AD9F"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Pensionable Service</w:t>
            </w:r>
          </w:p>
        </w:tc>
        <w:tc>
          <w:tcPr>
            <w:tcW w:w="2693" w:type="dxa"/>
          </w:tcPr>
          <w:p w14:paraId="56C657D8"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30 years, counting as</w:t>
            </w:r>
          </w:p>
        </w:tc>
        <w:tc>
          <w:tcPr>
            <w:tcW w:w="1446" w:type="dxa"/>
          </w:tcPr>
          <w:p w14:paraId="1224E452"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 xml:space="preserve">40/60ths </w:t>
            </w:r>
          </w:p>
        </w:tc>
      </w:tr>
      <w:tr w:rsidR="00E62860" w:rsidRPr="00C14F50" w14:paraId="08E33344"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3932661"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before commutation</w:t>
            </w:r>
          </w:p>
        </w:tc>
        <w:tc>
          <w:tcPr>
            <w:tcW w:w="2693" w:type="dxa"/>
          </w:tcPr>
          <w:p w14:paraId="7F342E9A" w14:textId="71D20B30"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£37,</w:t>
            </w:r>
            <w:r w:rsidR="00682DE4" w:rsidRPr="001F332C">
              <w:rPr>
                <w:rFonts w:ascii="Arial" w:eastAsia="Calibri" w:hAnsi="Arial" w:cs="Arial"/>
                <w:color w:val="000000"/>
                <w:sz w:val="24"/>
                <w:szCs w:val="24"/>
              </w:rPr>
              <w:t>854</w:t>
            </w:r>
            <w:r w:rsidRPr="001F332C">
              <w:rPr>
                <w:rFonts w:ascii="Arial" w:eastAsia="Calibri" w:hAnsi="Arial" w:cs="Arial"/>
                <w:color w:val="000000"/>
                <w:sz w:val="24"/>
                <w:szCs w:val="24"/>
              </w:rPr>
              <w:t xml:space="preserve"> x 40/60ths </w:t>
            </w:r>
          </w:p>
        </w:tc>
        <w:tc>
          <w:tcPr>
            <w:tcW w:w="1446" w:type="dxa"/>
          </w:tcPr>
          <w:p w14:paraId="0FECC235" w14:textId="2204166B" w:rsidR="00E62860" w:rsidRPr="001F332C" w:rsidRDefault="00E62860" w:rsidP="00682DE4">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£2</w:t>
            </w:r>
            <w:r w:rsidR="00682DE4" w:rsidRPr="001F332C">
              <w:rPr>
                <w:rFonts w:ascii="Arial" w:eastAsia="Calibri" w:hAnsi="Arial" w:cs="Arial"/>
                <w:color w:val="000000"/>
                <w:sz w:val="24"/>
                <w:szCs w:val="24"/>
              </w:rPr>
              <w:t>5,236</w:t>
            </w:r>
            <w:r w:rsidR="00047CAA" w:rsidRPr="001F332C">
              <w:rPr>
                <w:rFonts w:ascii="Arial" w:eastAsia="Calibri" w:hAnsi="Arial" w:cs="Arial"/>
                <w:color w:val="000000"/>
                <w:sz w:val="24"/>
                <w:szCs w:val="24"/>
              </w:rPr>
              <w:t xml:space="preserve"> </w:t>
            </w:r>
            <w:r w:rsidRPr="001F332C">
              <w:rPr>
                <w:rFonts w:ascii="Arial" w:eastAsia="Calibri" w:hAnsi="Arial" w:cs="Arial"/>
                <w:color w:val="000000"/>
                <w:sz w:val="24"/>
                <w:szCs w:val="24"/>
              </w:rPr>
              <w:t>p.a.</w:t>
            </w:r>
          </w:p>
        </w:tc>
      </w:tr>
      <w:tr w:rsidR="00E62860" w:rsidRPr="00C14F50" w14:paraId="18242579" w14:textId="77777777" w:rsidTr="00E62860">
        <w:tc>
          <w:tcPr>
            <w:cnfStyle w:val="001000000000" w:firstRow="0" w:lastRow="0" w:firstColumn="1" w:lastColumn="0" w:oddVBand="0" w:evenVBand="0" w:oddHBand="0" w:evenHBand="0" w:firstRowFirstColumn="0" w:firstRowLastColumn="0" w:lastRowFirstColumn="0" w:lastRowLastColumn="0"/>
            <w:tcW w:w="4928" w:type="dxa"/>
          </w:tcPr>
          <w:p w14:paraId="0F325A2C"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after commutation</w:t>
            </w:r>
          </w:p>
        </w:tc>
        <w:tc>
          <w:tcPr>
            <w:tcW w:w="2693" w:type="dxa"/>
          </w:tcPr>
          <w:p w14:paraId="19BA12BE"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p>
        </w:tc>
        <w:tc>
          <w:tcPr>
            <w:tcW w:w="1446" w:type="dxa"/>
          </w:tcPr>
          <w:p w14:paraId="126DC4D0"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£18,927 p.a.</w:t>
            </w:r>
          </w:p>
        </w:tc>
      </w:tr>
      <w:tr w:rsidR="00E62860" w:rsidRPr="00C14F50" w14:paraId="0E3FD4A3"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DBE587E"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Lump Sum</w:t>
            </w:r>
          </w:p>
        </w:tc>
        <w:tc>
          <w:tcPr>
            <w:tcW w:w="2693" w:type="dxa"/>
          </w:tcPr>
          <w:p w14:paraId="4A55A2D4" w14:textId="77777777"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1446" w:type="dxa"/>
          </w:tcPr>
          <w:p w14:paraId="52547CAD" w14:textId="11DCC298" w:rsidR="00E62860" w:rsidRPr="001F332C" w:rsidRDefault="00E62860" w:rsidP="00682DE4">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£1</w:t>
            </w:r>
            <w:r w:rsidR="00682DE4" w:rsidRPr="001F332C">
              <w:rPr>
                <w:rFonts w:ascii="Arial" w:eastAsia="Calibri" w:hAnsi="Arial" w:cs="Arial"/>
                <w:color w:val="000000"/>
                <w:sz w:val="24"/>
                <w:szCs w:val="24"/>
              </w:rPr>
              <w:t>36,905</w:t>
            </w:r>
          </w:p>
        </w:tc>
      </w:tr>
      <w:tr w:rsidR="00E62860" w:rsidRPr="00C14F50" w14:paraId="36D5FE4F" w14:textId="77777777" w:rsidTr="00E62860">
        <w:tc>
          <w:tcPr>
            <w:cnfStyle w:val="001000000000" w:firstRow="0" w:lastRow="0" w:firstColumn="1" w:lastColumn="0" w:oddVBand="0" w:evenVBand="0" w:oddHBand="0" w:evenHBand="0" w:firstRowFirstColumn="0" w:firstRowLastColumn="0" w:lastRowFirstColumn="0" w:lastRowLastColumn="0"/>
            <w:tcW w:w="7621" w:type="dxa"/>
            <w:gridSpan w:val="2"/>
          </w:tcPr>
          <w:p w14:paraId="41CD383F" w14:textId="182F822B" w:rsidR="00E62860" w:rsidRPr="001F332C" w:rsidRDefault="00E62860" w:rsidP="00682DE4">
            <w:pPr>
              <w:autoSpaceDE w:val="0"/>
              <w:autoSpaceDN w:val="0"/>
              <w:adjustRightInd w:val="0"/>
              <w:spacing w:before="40" w:after="40"/>
              <w:jc w:val="both"/>
              <w:rPr>
                <w:rFonts w:ascii="Arial" w:eastAsia="Calibri" w:hAnsi="Arial" w:cs="Arial"/>
                <w:sz w:val="24"/>
                <w:szCs w:val="24"/>
              </w:rPr>
            </w:pPr>
            <w:r w:rsidRPr="001F332C">
              <w:rPr>
                <w:rFonts w:ascii="Arial" w:eastAsia="Calibri" w:hAnsi="Arial" w:cs="Arial"/>
                <w:sz w:val="24"/>
                <w:szCs w:val="24"/>
              </w:rPr>
              <w:t>Capital Value of benefits (£18,927 x 20) + (£1</w:t>
            </w:r>
            <w:r w:rsidR="00682DE4" w:rsidRPr="001F332C">
              <w:rPr>
                <w:rFonts w:ascii="Arial" w:eastAsia="Calibri" w:hAnsi="Arial" w:cs="Arial"/>
                <w:sz w:val="24"/>
                <w:szCs w:val="24"/>
              </w:rPr>
              <w:t>36,905</w:t>
            </w:r>
            <w:r w:rsidRPr="001F332C">
              <w:rPr>
                <w:rFonts w:ascii="Arial" w:eastAsia="Calibri" w:hAnsi="Arial" w:cs="Arial"/>
                <w:sz w:val="24"/>
                <w:szCs w:val="24"/>
              </w:rPr>
              <w:t>)</w:t>
            </w:r>
          </w:p>
        </w:tc>
        <w:tc>
          <w:tcPr>
            <w:tcW w:w="1446" w:type="dxa"/>
          </w:tcPr>
          <w:p w14:paraId="78F3AA37" w14:textId="795F11B9" w:rsidR="00E62860" w:rsidRPr="001F332C" w:rsidRDefault="00E62860" w:rsidP="00682DE4">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r w:rsidRPr="001F332C">
              <w:rPr>
                <w:rFonts w:ascii="Arial" w:eastAsia="Calibri" w:hAnsi="Arial" w:cs="Arial"/>
                <w:b/>
                <w:sz w:val="24"/>
                <w:szCs w:val="24"/>
              </w:rPr>
              <w:t>£5</w:t>
            </w:r>
            <w:r w:rsidR="00682DE4" w:rsidRPr="001F332C">
              <w:rPr>
                <w:rFonts w:ascii="Arial" w:eastAsia="Calibri" w:hAnsi="Arial" w:cs="Arial"/>
                <w:b/>
                <w:sz w:val="24"/>
                <w:szCs w:val="24"/>
              </w:rPr>
              <w:t>15,445</w:t>
            </w:r>
          </w:p>
        </w:tc>
      </w:tr>
      <w:tr w:rsidR="00E62860" w:rsidRPr="00C14F50" w14:paraId="2B33CD41" w14:textId="77777777" w:rsidTr="00E62860">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9067" w:type="dxa"/>
            <w:gridSpan w:val="3"/>
          </w:tcPr>
          <w:p w14:paraId="4A8A0021" w14:textId="71A16085"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Simon has not drawn any pension benefits previously; the capital value of his benefits is less than the LTA for 201</w:t>
            </w:r>
            <w:r w:rsidR="00682DE4" w:rsidRPr="001F332C">
              <w:rPr>
                <w:rFonts w:ascii="Arial" w:eastAsia="Calibri" w:hAnsi="Arial" w:cs="Arial"/>
                <w:color w:val="000000"/>
                <w:sz w:val="24"/>
                <w:szCs w:val="24"/>
              </w:rPr>
              <w:t>9</w:t>
            </w:r>
            <w:r w:rsidRPr="001F332C">
              <w:rPr>
                <w:rFonts w:ascii="Arial" w:eastAsia="Calibri" w:hAnsi="Arial" w:cs="Arial"/>
                <w:color w:val="000000"/>
                <w:sz w:val="24"/>
                <w:szCs w:val="24"/>
              </w:rPr>
              <w:t>/</w:t>
            </w:r>
            <w:r w:rsidR="00682DE4" w:rsidRPr="001F332C">
              <w:rPr>
                <w:rFonts w:ascii="Arial" w:eastAsia="Calibri" w:hAnsi="Arial" w:cs="Arial"/>
                <w:color w:val="000000"/>
                <w:sz w:val="24"/>
                <w:szCs w:val="24"/>
              </w:rPr>
              <w:t>20</w:t>
            </w:r>
            <w:r w:rsidRPr="001F332C">
              <w:rPr>
                <w:rFonts w:ascii="Arial" w:eastAsia="Calibri" w:hAnsi="Arial" w:cs="Arial"/>
                <w:color w:val="000000"/>
                <w:sz w:val="24"/>
                <w:szCs w:val="24"/>
              </w:rPr>
              <w:t xml:space="preserve"> of £1,0</w:t>
            </w:r>
            <w:r w:rsidR="00680072">
              <w:rPr>
                <w:rFonts w:ascii="Arial" w:eastAsia="Calibri" w:hAnsi="Arial" w:cs="Arial"/>
                <w:color w:val="000000"/>
                <w:sz w:val="24"/>
                <w:szCs w:val="24"/>
              </w:rPr>
              <w:t>73,100</w:t>
            </w:r>
            <w:r w:rsidRPr="001F332C">
              <w:rPr>
                <w:rFonts w:ascii="Arial" w:eastAsia="Calibri" w:hAnsi="Arial" w:cs="Arial"/>
                <w:color w:val="000000"/>
                <w:sz w:val="24"/>
                <w:szCs w:val="24"/>
              </w:rPr>
              <w:t>. He has used 4</w:t>
            </w:r>
            <w:r w:rsidR="00794209">
              <w:rPr>
                <w:rFonts w:ascii="Arial" w:eastAsia="Calibri" w:hAnsi="Arial" w:cs="Arial"/>
                <w:color w:val="000000"/>
                <w:sz w:val="24"/>
                <w:szCs w:val="24"/>
              </w:rPr>
              <w:t>8.03</w:t>
            </w:r>
            <w:r w:rsidRPr="001F332C">
              <w:rPr>
                <w:rFonts w:ascii="Arial" w:eastAsia="Calibri" w:hAnsi="Arial" w:cs="Arial"/>
                <w:color w:val="000000"/>
                <w:sz w:val="24"/>
                <w:szCs w:val="24"/>
              </w:rPr>
              <w:t>% of the available LTA</w:t>
            </w:r>
          </w:p>
        </w:tc>
      </w:tr>
    </w:tbl>
    <w:p w14:paraId="7D55F33A" w14:textId="77777777" w:rsidR="00E62860" w:rsidRPr="001F332C" w:rsidRDefault="00E62860" w:rsidP="00E62860">
      <w:pPr>
        <w:autoSpaceDE w:val="0"/>
        <w:autoSpaceDN w:val="0"/>
        <w:adjustRightInd w:val="0"/>
        <w:spacing w:after="0" w:line="240" w:lineRule="auto"/>
        <w:jc w:val="both"/>
        <w:rPr>
          <w:rFonts w:ascii="Arial" w:eastAsia="Calibri" w:hAnsi="Arial" w:cs="Arial"/>
          <w:color w:val="000000"/>
          <w:sz w:val="24"/>
          <w:szCs w:val="24"/>
          <w:highlight w:val="yellow"/>
        </w:rPr>
      </w:pPr>
    </w:p>
    <w:p w14:paraId="7D5B7027" w14:textId="77777777" w:rsidR="0049140A" w:rsidRPr="001F332C" w:rsidRDefault="0049140A" w:rsidP="00E62860">
      <w:pPr>
        <w:autoSpaceDE w:val="0"/>
        <w:autoSpaceDN w:val="0"/>
        <w:adjustRightInd w:val="0"/>
        <w:spacing w:after="0" w:line="240" w:lineRule="auto"/>
        <w:jc w:val="both"/>
        <w:rPr>
          <w:rFonts w:ascii="Arial" w:eastAsia="Calibri" w:hAnsi="Arial" w:cs="Arial"/>
          <w:color w:val="000000"/>
          <w:sz w:val="24"/>
          <w:szCs w:val="24"/>
          <w:highlight w:val="yellow"/>
        </w:rPr>
      </w:pPr>
    </w:p>
    <w:p w14:paraId="6560F63F" w14:textId="77777777" w:rsidR="00E62860" w:rsidRPr="001F332C" w:rsidRDefault="00E62860" w:rsidP="00E62860">
      <w:pPr>
        <w:autoSpaceDE w:val="0"/>
        <w:autoSpaceDN w:val="0"/>
        <w:adjustRightInd w:val="0"/>
        <w:spacing w:after="0" w:line="240" w:lineRule="auto"/>
        <w:jc w:val="both"/>
        <w:rPr>
          <w:rFonts w:ascii="Arial" w:eastAsia="Calibri" w:hAnsi="Arial" w:cs="Arial"/>
          <w:b/>
          <w:color w:val="000000"/>
          <w:sz w:val="24"/>
          <w:szCs w:val="24"/>
        </w:rPr>
      </w:pPr>
      <w:r w:rsidRPr="001F332C">
        <w:rPr>
          <w:rFonts w:ascii="Arial" w:eastAsia="Calibri" w:hAnsi="Arial" w:cs="Arial"/>
          <w:b/>
          <w:color w:val="000000"/>
          <w:sz w:val="24"/>
          <w:szCs w:val="24"/>
        </w:rPr>
        <w:t>Example 2</w:t>
      </w:r>
    </w:p>
    <w:p w14:paraId="53D3CA98" w14:textId="77777777" w:rsidR="00E62860" w:rsidRPr="001F332C" w:rsidRDefault="00E62860" w:rsidP="00E62860">
      <w:pPr>
        <w:autoSpaceDE w:val="0"/>
        <w:autoSpaceDN w:val="0"/>
        <w:adjustRightInd w:val="0"/>
        <w:spacing w:after="0" w:line="240" w:lineRule="auto"/>
        <w:jc w:val="both"/>
        <w:rPr>
          <w:rFonts w:ascii="Arial" w:eastAsia="Calibri" w:hAnsi="Arial" w:cs="Arial"/>
          <w:color w:val="000000"/>
          <w:sz w:val="24"/>
          <w:szCs w:val="24"/>
          <w:highlight w:val="yellow"/>
        </w:rPr>
      </w:pPr>
    </w:p>
    <w:tbl>
      <w:tblPr>
        <w:tblStyle w:val="GridTable4-Accent6"/>
        <w:tblW w:w="9067" w:type="dxa"/>
        <w:tblLook w:val="04A0" w:firstRow="1" w:lastRow="0" w:firstColumn="1" w:lastColumn="0" w:noHBand="0" w:noVBand="1"/>
      </w:tblPr>
      <w:tblGrid>
        <w:gridCol w:w="4928"/>
        <w:gridCol w:w="2693"/>
        <w:gridCol w:w="1446"/>
      </w:tblGrid>
      <w:tr w:rsidR="00E62860" w:rsidRPr="00C14F50" w14:paraId="23AE4F7F" w14:textId="77777777" w:rsidTr="00E62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7F0FFEC9" w14:textId="509E8880" w:rsidR="00E62860" w:rsidRPr="001F332C" w:rsidRDefault="00E62860" w:rsidP="00682DE4">
            <w:pPr>
              <w:autoSpaceDE w:val="0"/>
              <w:autoSpaceDN w:val="0"/>
              <w:adjustRightInd w:val="0"/>
              <w:spacing w:before="40" w:after="40"/>
              <w:jc w:val="both"/>
              <w:rPr>
                <w:rFonts w:ascii="Arial" w:eastAsia="Calibri" w:hAnsi="Arial" w:cs="Arial"/>
                <w:color w:val="FFFFFF"/>
                <w:sz w:val="24"/>
                <w:szCs w:val="24"/>
              </w:rPr>
            </w:pPr>
            <w:r w:rsidRPr="005A44B5">
              <w:rPr>
                <w:rFonts w:ascii="Arial" w:eastAsia="Calibri" w:hAnsi="Arial" w:cs="Arial"/>
                <w:color w:val="auto"/>
                <w:sz w:val="24"/>
                <w:szCs w:val="24"/>
              </w:rPr>
              <w:t>Patricia retires on 31 August 20</w:t>
            </w:r>
            <w:r w:rsidR="00680072" w:rsidRPr="005A44B5">
              <w:rPr>
                <w:rFonts w:ascii="Arial" w:eastAsia="Calibri" w:hAnsi="Arial" w:cs="Arial"/>
                <w:color w:val="auto"/>
                <w:sz w:val="24"/>
                <w:szCs w:val="24"/>
              </w:rPr>
              <w:t>20</w:t>
            </w:r>
            <w:r w:rsidRPr="005A44B5">
              <w:rPr>
                <w:rFonts w:ascii="Arial" w:eastAsia="Calibri" w:hAnsi="Arial" w:cs="Arial"/>
                <w:color w:val="auto"/>
                <w:sz w:val="24"/>
                <w:szCs w:val="24"/>
              </w:rPr>
              <w:t xml:space="preserve"> from FPS1992 with 30 years’ service</w:t>
            </w:r>
          </w:p>
        </w:tc>
      </w:tr>
      <w:tr w:rsidR="00E62860" w:rsidRPr="00C14F50" w14:paraId="0927386E"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712C72F5"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Final Pensionable Pay</w:t>
            </w:r>
          </w:p>
        </w:tc>
        <w:tc>
          <w:tcPr>
            <w:tcW w:w="2693" w:type="dxa"/>
          </w:tcPr>
          <w:p w14:paraId="51430735" w14:textId="77777777"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1446" w:type="dxa"/>
          </w:tcPr>
          <w:p w14:paraId="13784CCE" w14:textId="77777777"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£80,000</w:t>
            </w:r>
          </w:p>
        </w:tc>
      </w:tr>
      <w:tr w:rsidR="00E62860" w:rsidRPr="00C14F50" w14:paraId="4DC4E0D3" w14:textId="77777777" w:rsidTr="00E62860">
        <w:tc>
          <w:tcPr>
            <w:cnfStyle w:val="001000000000" w:firstRow="0" w:lastRow="0" w:firstColumn="1" w:lastColumn="0" w:oddVBand="0" w:evenVBand="0" w:oddHBand="0" w:evenHBand="0" w:firstRowFirstColumn="0" w:firstRowLastColumn="0" w:lastRowFirstColumn="0" w:lastRowLastColumn="0"/>
            <w:tcW w:w="4928" w:type="dxa"/>
          </w:tcPr>
          <w:p w14:paraId="40AC9347"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Pensionable Service</w:t>
            </w:r>
          </w:p>
        </w:tc>
        <w:tc>
          <w:tcPr>
            <w:tcW w:w="2693" w:type="dxa"/>
          </w:tcPr>
          <w:p w14:paraId="379AD0ED"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30 years, counting as</w:t>
            </w:r>
          </w:p>
        </w:tc>
        <w:tc>
          <w:tcPr>
            <w:tcW w:w="1446" w:type="dxa"/>
          </w:tcPr>
          <w:p w14:paraId="494DEE89"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 xml:space="preserve">40/60ths </w:t>
            </w:r>
          </w:p>
        </w:tc>
      </w:tr>
      <w:tr w:rsidR="00E62860" w:rsidRPr="00C14F50" w14:paraId="618F9371"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4F1DD71"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before commutation</w:t>
            </w:r>
          </w:p>
        </w:tc>
        <w:tc>
          <w:tcPr>
            <w:tcW w:w="2693" w:type="dxa"/>
          </w:tcPr>
          <w:p w14:paraId="1DC8E2EA" w14:textId="77777777"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 xml:space="preserve">£80,000 x 40/60ths </w:t>
            </w:r>
          </w:p>
        </w:tc>
        <w:tc>
          <w:tcPr>
            <w:tcW w:w="1446" w:type="dxa"/>
          </w:tcPr>
          <w:p w14:paraId="3EB5DA96" w14:textId="77777777"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£53,333 p.a.</w:t>
            </w:r>
          </w:p>
        </w:tc>
      </w:tr>
      <w:tr w:rsidR="00E62860" w:rsidRPr="00C14F50" w14:paraId="7AA066AA" w14:textId="77777777" w:rsidTr="00E62860">
        <w:tc>
          <w:tcPr>
            <w:cnfStyle w:val="001000000000" w:firstRow="0" w:lastRow="0" w:firstColumn="1" w:lastColumn="0" w:oddVBand="0" w:evenVBand="0" w:oddHBand="0" w:evenHBand="0" w:firstRowFirstColumn="0" w:firstRowLastColumn="0" w:lastRowFirstColumn="0" w:lastRowLastColumn="0"/>
            <w:tcW w:w="4928" w:type="dxa"/>
          </w:tcPr>
          <w:p w14:paraId="5C1845EB"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after commutation</w:t>
            </w:r>
          </w:p>
        </w:tc>
        <w:tc>
          <w:tcPr>
            <w:tcW w:w="2693" w:type="dxa"/>
          </w:tcPr>
          <w:p w14:paraId="2A3F297B"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p>
        </w:tc>
        <w:tc>
          <w:tcPr>
            <w:tcW w:w="1446" w:type="dxa"/>
          </w:tcPr>
          <w:p w14:paraId="542716BE"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£41,143 p.a.</w:t>
            </w:r>
          </w:p>
        </w:tc>
      </w:tr>
      <w:tr w:rsidR="00E62860" w:rsidRPr="00C14F50" w14:paraId="76FD5856" w14:textId="77777777" w:rsidTr="00E6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768F7A52" w14:textId="77777777" w:rsidR="00E62860" w:rsidRPr="001F332C" w:rsidRDefault="00E62860" w:rsidP="00E62860">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Lump Sum</w:t>
            </w:r>
          </w:p>
        </w:tc>
        <w:tc>
          <w:tcPr>
            <w:tcW w:w="2693" w:type="dxa"/>
          </w:tcPr>
          <w:p w14:paraId="795491A6" w14:textId="77777777"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1446" w:type="dxa"/>
          </w:tcPr>
          <w:p w14:paraId="3C6482DE" w14:textId="77777777" w:rsidR="00E62860" w:rsidRPr="001F332C" w:rsidRDefault="00E62860" w:rsidP="00E62860">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£274,286</w:t>
            </w:r>
          </w:p>
        </w:tc>
      </w:tr>
      <w:tr w:rsidR="00E62860" w:rsidRPr="00C14F50" w14:paraId="5AAFFDB6" w14:textId="77777777" w:rsidTr="00E62860">
        <w:tc>
          <w:tcPr>
            <w:cnfStyle w:val="001000000000" w:firstRow="0" w:lastRow="0" w:firstColumn="1" w:lastColumn="0" w:oddVBand="0" w:evenVBand="0" w:oddHBand="0" w:evenHBand="0" w:firstRowFirstColumn="0" w:firstRowLastColumn="0" w:lastRowFirstColumn="0" w:lastRowLastColumn="0"/>
            <w:tcW w:w="7621" w:type="dxa"/>
            <w:gridSpan w:val="2"/>
          </w:tcPr>
          <w:p w14:paraId="7032C557" w14:textId="30B5A7D3" w:rsidR="00E62860" w:rsidRPr="001F332C" w:rsidRDefault="00E62860" w:rsidP="00E62860">
            <w:pPr>
              <w:autoSpaceDE w:val="0"/>
              <w:autoSpaceDN w:val="0"/>
              <w:adjustRightInd w:val="0"/>
              <w:spacing w:before="40" w:after="40"/>
              <w:jc w:val="both"/>
              <w:rPr>
                <w:rFonts w:ascii="Arial" w:eastAsia="Calibri" w:hAnsi="Arial" w:cs="Arial"/>
                <w:sz w:val="24"/>
                <w:szCs w:val="24"/>
              </w:rPr>
            </w:pPr>
            <w:r w:rsidRPr="001F332C">
              <w:rPr>
                <w:rFonts w:ascii="Arial" w:eastAsia="Calibri" w:hAnsi="Arial" w:cs="Arial"/>
                <w:sz w:val="24"/>
                <w:szCs w:val="24"/>
              </w:rPr>
              <w:t>Capital Value of benefits (£41,143 x 20) + £274,286</w:t>
            </w:r>
          </w:p>
        </w:tc>
        <w:tc>
          <w:tcPr>
            <w:tcW w:w="1446" w:type="dxa"/>
          </w:tcPr>
          <w:p w14:paraId="66C97C3C" w14:textId="77777777" w:rsidR="00E62860" w:rsidRPr="001F332C" w:rsidRDefault="00E62860" w:rsidP="00E62860">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r w:rsidRPr="001F332C">
              <w:rPr>
                <w:rFonts w:ascii="Arial" w:eastAsia="Calibri" w:hAnsi="Arial" w:cs="Arial"/>
                <w:b/>
                <w:sz w:val="24"/>
                <w:szCs w:val="24"/>
              </w:rPr>
              <w:t>£1,097,146</w:t>
            </w:r>
          </w:p>
        </w:tc>
      </w:tr>
      <w:tr w:rsidR="00E62860" w:rsidRPr="00C14F50" w14:paraId="448A0C59" w14:textId="77777777" w:rsidTr="00E62860">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7621" w:type="dxa"/>
            <w:gridSpan w:val="2"/>
          </w:tcPr>
          <w:p w14:paraId="2CA508E2" w14:textId="062C6703" w:rsidR="00E62860" w:rsidRPr="001F332C" w:rsidRDefault="00E62860" w:rsidP="00047CAA">
            <w:pPr>
              <w:autoSpaceDE w:val="0"/>
              <w:autoSpaceDN w:val="0"/>
              <w:adjustRightInd w:val="0"/>
              <w:spacing w:before="40"/>
              <w:jc w:val="both"/>
              <w:rPr>
                <w:rFonts w:ascii="Arial" w:eastAsia="Calibri" w:hAnsi="Arial" w:cs="Arial"/>
                <w:color w:val="000000"/>
                <w:sz w:val="24"/>
                <w:szCs w:val="24"/>
              </w:rPr>
            </w:pPr>
            <w:r w:rsidRPr="001F332C">
              <w:rPr>
                <w:rFonts w:ascii="Arial" w:eastAsia="Calibri" w:hAnsi="Arial" w:cs="Arial"/>
                <w:color w:val="000000"/>
                <w:sz w:val="24"/>
                <w:szCs w:val="24"/>
              </w:rPr>
              <w:t>Tax Charge Payable on benefits in excess of £1</w:t>
            </w:r>
            <w:r w:rsidR="000E7E4B">
              <w:rPr>
                <w:rFonts w:ascii="Arial" w:eastAsia="Calibri" w:hAnsi="Arial" w:cs="Arial"/>
                <w:color w:val="000000"/>
                <w:sz w:val="24"/>
                <w:szCs w:val="24"/>
              </w:rPr>
              <w:t>,</w:t>
            </w:r>
            <w:r w:rsidRPr="001F332C">
              <w:rPr>
                <w:rFonts w:ascii="Arial" w:eastAsia="Calibri" w:hAnsi="Arial" w:cs="Arial"/>
                <w:color w:val="000000"/>
                <w:sz w:val="24"/>
                <w:szCs w:val="24"/>
              </w:rPr>
              <w:t>0</w:t>
            </w:r>
            <w:r w:rsidR="00680072">
              <w:rPr>
                <w:rFonts w:ascii="Arial" w:eastAsia="Calibri" w:hAnsi="Arial" w:cs="Arial"/>
                <w:color w:val="000000"/>
                <w:sz w:val="24"/>
                <w:szCs w:val="24"/>
              </w:rPr>
              <w:t>73,100</w:t>
            </w:r>
            <w:r w:rsidRPr="001F332C">
              <w:rPr>
                <w:rFonts w:ascii="Arial" w:eastAsia="Calibri" w:hAnsi="Arial" w:cs="Arial"/>
                <w:color w:val="000000"/>
                <w:sz w:val="24"/>
                <w:szCs w:val="24"/>
              </w:rPr>
              <w:t xml:space="preserve"> (£</w:t>
            </w:r>
            <w:r w:rsidR="006D3E2A">
              <w:rPr>
                <w:rFonts w:ascii="Arial" w:eastAsia="Calibri" w:hAnsi="Arial" w:cs="Arial"/>
                <w:color w:val="000000"/>
                <w:sz w:val="24"/>
                <w:szCs w:val="24"/>
              </w:rPr>
              <w:t>6,011</w:t>
            </w:r>
            <w:r w:rsidRPr="001F332C">
              <w:rPr>
                <w:rFonts w:ascii="Arial" w:eastAsia="Calibri" w:hAnsi="Arial" w:cs="Arial"/>
                <w:color w:val="000000"/>
                <w:sz w:val="24"/>
                <w:szCs w:val="24"/>
              </w:rPr>
              <w:t xml:space="preserve"> x 55%</w:t>
            </w:r>
            <w:r w:rsidR="006D3E2A">
              <w:rPr>
                <w:rFonts w:ascii="Arial" w:eastAsia="Calibri" w:hAnsi="Arial" w:cs="Arial"/>
                <w:color w:val="000000"/>
                <w:sz w:val="24"/>
                <w:szCs w:val="24"/>
              </w:rPr>
              <w:t xml:space="preserve"> and £18,035 at 25%</w:t>
            </w:r>
            <w:r w:rsidRPr="001F332C">
              <w:rPr>
                <w:rFonts w:ascii="Arial" w:eastAsia="Calibri" w:hAnsi="Arial" w:cs="Arial"/>
                <w:color w:val="000000"/>
                <w:sz w:val="24"/>
                <w:szCs w:val="24"/>
              </w:rPr>
              <w:t>)</w:t>
            </w:r>
          </w:p>
        </w:tc>
        <w:tc>
          <w:tcPr>
            <w:tcW w:w="1446" w:type="dxa"/>
          </w:tcPr>
          <w:p w14:paraId="525290CE" w14:textId="7078A2A6" w:rsidR="00E62860" w:rsidRPr="001F332C" w:rsidRDefault="00E62860" w:rsidP="00047CAA">
            <w:pPr>
              <w:autoSpaceDE w:val="0"/>
              <w:autoSpaceDN w:val="0"/>
              <w:adjustRightInd w:val="0"/>
              <w:spacing w:before="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sz w:val="24"/>
                <w:szCs w:val="24"/>
              </w:rPr>
            </w:pPr>
            <w:r w:rsidRPr="001F332C">
              <w:rPr>
                <w:rFonts w:ascii="Arial" w:eastAsia="Calibri" w:hAnsi="Arial" w:cs="Arial"/>
                <w:b/>
                <w:color w:val="000000"/>
                <w:sz w:val="24"/>
                <w:szCs w:val="24"/>
              </w:rPr>
              <w:t>£</w:t>
            </w:r>
            <w:r w:rsidR="006D3E2A">
              <w:rPr>
                <w:rFonts w:ascii="Arial" w:eastAsia="Calibri" w:hAnsi="Arial" w:cs="Arial"/>
                <w:b/>
                <w:color w:val="000000"/>
                <w:sz w:val="24"/>
                <w:szCs w:val="24"/>
              </w:rPr>
              <w:t>7,814</w:t>
            </w:r>
          </w:p>
        </w:tc>
      </w:tr>
    </w:tbl>
    <w:p w14:paraId="7F08802E" w14:textId="77777777" w:rsidR="00E62860" w:rsidRPr="001F332C" w:rsidRDefault="00E62860" w:rsidP="00E62860">
      <w:pPr>
        <w:autoSpaceDE w:val="0"/>
        <w:autoSpaceDN w:val="0"/>
        <w:adjustRightInd w:val="0"/>
        <w:spacing w:after="0" w:line="240" w:lineRule="auto"/>
        <w:jc w:val="both"/>
        <w:rPr>
          <w:rFonts w:ascii="Arial" w:eastAsia="Calibri" w:hAnsi="Arial" w:cs="Arial"/>
          <w:color w:val="000000"/>
          <w:sz w:val="24"/>
          <w:szCs w:val="24"/>
          <w:highlight w:val="yellow"/>
        </w:rPr>
      </w:pPr>
    </w:p>
    <w:p w14:paraId="042A5A5A" w14:textId="5F049BDC" w:rsidR="00E62860" w:rsidRPr="001F332C" w:rsidRDefault="00E62860" w:rsidP="00E62860">
      <w:pPr>
        <w:autoSpaceDE w:val="0"/>
        <w:autoSpaceDN w:val="0"/>
        <w:adjustRightInd w:val="0"/>
        <w:spacing w:after="0" w:line="240" w:lineRule="auto"/>
        <w:jc w:val="both"/>
        <w:rPr>
          <w:rFonts w:ascii="Arial" w:eastAsia="Calibri" w:hAnsi="Arial" w:cs="Arial"/>
          <w:color w:val="000000"/>
          <w:sz w:val="24"/>
          <w:szCs w:val="24"/>
          <w:highlight w:val="yellow"/>
        </w:rPr>
      </w:pPr>
      <w:r w:rsidRPr="001F332C">
        <w:rPr>
          <w:rFonts w:ascii="Arial" w:eastAsia="Calibri" w:hAnsi="Arial" w:cs="Arial"/>
          <w:color w:val="000000"/>
          <w:sz w:val="24"/>
          <w:szCs w:val="24"/>
        </w:rPr>
        <w:t>This example assumes Patricia has not applied for any lifetime allowance protection. She has used 100% of the available LTA.</w:t>
      </w:r>
    </w:p>
    <w:p w14:paraId="45476082" w14:textId="77777777" w:rsidR="00980451" w:rsidRDefault="00980451" w:rsidP="00394944">
      <w:pPr>
        <w:spacing w:after="0" w:line="240" w:lineRule="auto"/>
        <w:rPr>
          <w:rFonts w:ascii="Arial" w:eastAsia="Times New Roman" w:hAnsi="Arial" w:cs="Arial"/>
          <w:color w:val="FF0000"/>
          <w:sz w:val="24"/>
          <w:szCs w:val="24"/>
          <w:lang w:eastAsia="en-GB"/>
        </w:rPr>
      </w:pPr>
    </w:p>
    <w:p w14:paraId="5E4E2A33" w14:textId="77777777" w:rsidR="00980451" w:rsidRDefault="00980451" w:rsidP="00394944">
      <w:pPr>
        <w:spacing w:after="0" w:line="240" w:lineRule="auto"/>
        <w:rPr>
          <w:rFonts w:ascii="Arial" w:eastAsia="Times New Roman" w:hAnsi="Arial" w:cs="Arial"/>
          <w:color w:val="FF0000"/>
          <w:sz w:val="24"/>
          <w:szCs w:val="24"/>
          <w:lang w:eastAsia="en-GB"/>
        </w:rPr>
      </w:pPr>
    </w:p>
    <w:p w14:paraId="77B5D199" w14:textId="77777777" w:rsidR="00980451" w:rsidRDefault="00980451" w:rsidP="00394944">
      <w:pPr>
        <w:spacing w:after="0" w:line="240" w:lineRule="auto"/>
        <w:rPr>
          <w:rFonts w:ascii="Arial" w:eastAsia="Times New Roman" w:hAnsi="Arial" w:cs="Arial"/>
          <w:color w:val="FF0000"/>
          <w:sz w:val="24"/>
          <w:szCs w:val="24"/>
          <w:lang w:eastAsia="en-GB"/>
        </w:rPr>
      </w:pPr>
    </w:p>
    <w:p w14:paraId="1536CA14" w14:textId="77777777" w:rsidR="00980451" w:rsidRDefault="00980451" w:rsidP="00394944">
      <w:pPr>
        <w:spacing w:after="0" w:line="240" w:lineRule="auto"/>
        <w:rPr>
          <w:rFonts w:ascii="Arial" w:eastAsia="Times New Roman" w:hAnsi="Arial" w:cs="Arial"/>
          <w:color w:val="FF0000"/>
          <w:sz w:val="24"/>
          <w:szCs w:val="24"/>
          <w:lang w:eastAsia="en-GB"/>
        </w:rPr>
      </w:pPr>
    </w:p>
    <w:p w14:paraId="71F31F87" w14:textId="77777777" w:rsidR="00980451" w:rsidRDefault="00980451" w:rsidP="00394944">
      <w:pPr>
        <w:spacing w:after="0" w:line="240" w:lineRule="auto"/>
        <w:rPr>
          <w:rFonts w:ascii="Arial" w:eastAsia="Times New Roman" w:hAnsi="Arial" w:cs="Arial"/>
          <w:color w:val="FF0000"/>
          <w:sz w:val="24"/>
          <w:szCs w:val="24"/>
          <w:lang w:eastAsia="en-GB"/>
        </w:rPr>
      </w:pPr>
    </w:p>
    <w:p w14:paraId="170D7C13" w14:textId="77777777" w:rsidR="00980451" w:rsidRDefault="00980451" w:rsidP="00394944">
      <w:pPr>
        <w:spacing w:after="0" w:line="240" w:lineRule="auto"/>
        <w:rPr>
          <w:rFonts w:ascii="Arial" w:eastAsia="Times New Roman" w:hAnsi="Arial" w:cs="Arial"/>
          <w:color w:val="FF0000"/>
          <w:sz w:val="24"/>
          <w:szCs w:val="24"/>
          <w:lang w:eastAsia="en-GB"/>
        </w:rPr>
      </w:pPr>
    </w:p>
    <w:p w14:paraId="7B5DAC75" w14:textId="77777777" w:rsidR="00980451" w:rsidRDefault="00980451" w:rsidP="00394944">
      <w:pPr>
        <w:spacing w:after="0" w:line="240" w:lineRule="auto"/>
        <w:rPr>
          <w:rFonts w:ascii="Arial" w:eastAsia="Times New Roman" w:hAnsi="Arial" w:cs="Arial"/>
          <w:color w:val="FF0000"/>
          <w:sz w:val="24"/>
          <w:szCs w:val="24"/>
          <w:lang w:eastAsia="en-GB"/>
        </w:rPr>
      </w:pPr>
    </w:p>
    <w:p w14:paraId="53ADF040" w14:textId="77777777" w:rsidR="00980451" w:rsidRDefault="00980451" w:rsidP="00394944">
      <w:pPr>
        <w:spacing w:after="0" w:line="240" w:lineRule="auto"/>
        <w:rPr>
          <w:rFonts w:ascii="Arial" w:eastAsia="Times New Roman" w:hAnsi="Arial" w:cs="Arial"/>
          <w:color w:val="FF0000"/>
          <w:sz w:val="24"/>
          <w:szCs w:val="24"/>
          <w:lang w:eastAsia="en-GB"/>
        </w:rPr>
      </w:pPr>
    </w:p>
    <w:p w14:paraId="52E6A8E1" w14:textId="77777777" w:rsidR="00980451" w:rsidRDefault="00980451" w:rsidP="00394944">
      <w:pPr>
        <w:spacing w:after="0" w:line="240" w:lineRule="auto"/>
        <w:rPr>
          <w:rFonts w:ascii="Arial" w:eastAsia="Times New Roman" w:hAnsi="Arial" w:cs="Arial"/>
          <w:color w:val="FF0000"/>
          <w:sz w:val="24"/>
          <w:szCs w:val="24"/>
          <w:lang w:eastAsia="en-GB"/>
        </w:rPr>
      </w:pPr>
    </w:p>
    <w:p w14:paraId="352CA75C" w14:textId="77777777" w:rsidR="004B716A" w:rsidRDefault="004B716A">
      <w:pPr>
        <w:rPr>
          <w:rFonts w:ascii="Impact" w:hAnsi="Impact"/>
          <w:color w:val="34A161"/>
          <w:sz w:val="36"/>
        </w:rPr>
      </w:pPr>
      <w:bookmarkStart w:id="4" w:name="_Appendix_2:_example"/>
      <w:bookmarkEnd w:id="4"/>
      <w:r>
        <w:br w:type="page"/>
      </w:r>
    </w:p>
    <w:p w14:paraId="537DEE36" w14:textId="54AABD4A" w:rsidR="00980451" w:rsidRPr="00980451" w:rsidRDefault="008F57CD" w:rsidP="00A40C70">
      <w:pPr>
        <w:pStyle w:val="Heading1"/>
      </w:pPr>
      <w:r>
        <w:lastRenderedPageBreak/>
        <w:t>Appendix 2</w:t>
      </w:r>
      <w:r w:rsidR="00980451">
        <w:t>: e</w:t>
      </w:r>
      <w:r w:rsidR="00980451" w:rsidRPr="00980451">
        <w:t xml:space="preserve">xample </w:t>
      </w:r>
      <w:r w:rsidR="006460F8">
        <w:t xml:space="preserve">of </w:t>
      </w:r>
      <w:r w:rsidR="00663E4D">
        <w:t xml:space="preserve">LTA </w:t>
      </w:r>
      <w:r w:rsidR="006460F8">
        <w:t>protection</w:t>
      </w:r>
    </w:p>
    <w:p w14:paraId="66206CEC" w14:textId="215E63A2" w:rsidR="002F0430" w:rsidRPr="001F332C" w:rsidRDefault="002F0430" w:rsidP="002F0430">
      <w:pPr>
        <w:autoSpaceDE w:val="0"/>
        <w:autoSpaceDN w:val="0"/>
        <w:adjustRightInd w:val="0"/>
        <w:spacing w:after="0" w:line="240" w:lineRule="auto"/>
        <w:jc w:val="both"/>
        <w:rPr>
          <w:rFonts w:ascii="Arial" w:eastAsia="Calibri" w:hAnsi="Arial" w:cs="Arial"/>
          <w:b/>
          <w:bCs/>
          <w:color w:val="000000"/>
          <w:sz w:val="24"/>
          <w:szCs w:val="24"/>
        </w:rPr>
      </w:pPr>
    </w:p>
    <w:tbl>
      <w:tblPr>
        <w:tblStyle w:val="GridTable4-Accent6"/>
        <w:tblW w:w="9067" w:type="dxa"/>
        <w:tblLook w:val="04A0" w:firstRow="1" w:lastRow="0" w:firstColumn="1" w:lastColumn="0" w:noHBand="0" w:noVBand="1"/>
      </w:tblPr>
      <w:tblGrid>
        <w:gridCol w:w="4902"/>
        <w:gridCol w:w="2681"/>
        <w:gridCol w:w="1484"/>
      </w:tblGrid>
      <w:tr w:rsidR="002F0430" w:rsidRPr="00C14F50" w14:paraId="5A0F7CE5" w14:textId="77777777" w:rsidTr="0092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04FF87F5" w14:textId="5D94561B" w:rsidR="002F0430" w:rsidRPr="001F332C" w:rsidRDefault="002F0430" w:rsidP="00921F46">
            <w:pPr>
              <w:autoSpaceDE w:val="0"/>
              <w:autoSpaceDN w:val="0"/>
              <w:adjustRightInd w:val="0"/>
              <w:spacing w:before="40" w:after="40"/>
              <w:jc w:val="both"/>
              <w:rPr>
                <w:rFonts w:ascii="Arial" w:eastAsia="Calibri" w:hAnsi="Arial" w:cs="Arial"/>
                <w:color w:val="FFFFFF"/>
                <w:sz w:val="24"/>
                <w:szCs w:val="24"/>
              </w:rPr>
            </w:pPr>
            <w:r w:rsidRPr="005A44B5">
              <w:rPr>
                <w:rFonts w:ascii="Arial" w:eastAsia="Calibri" w:hAnsi="Arial" w:cs="Arial"/>
                <w:color w:val="auto"/>
                <w:sz w:val="24"/>
                <w:szCs w:val="24"/>
              </w:rPr>
              <w:t>Sunil receives a forecast for retirement at age 55 on 6 October 20</w:t>
            </w:r>
            <w:r w:rsidR="00680072" w:rsidRPr="005A44B5">
              <w:rPr>
                <w:rFonts w:ascii="Arial" w:eastAsia="Calibri" w:hAnsi="Arial" w:cs="Arial"/>
                <w:color w:val="auto"/>
                <w:sz w:val="24"/>
                <w:szCs w:val="24"/>
              </w:rPr>
              <w:t>20</w:t>
            </w:r>
            <w:r w:rsidRPr="005A44B5">
              <w:rPr>
                <w:rFonts w:ascii="Arial" w:eastAsia="Calibri" w:hAnsi="Arial" w:cs="Arial"/>
                <w:color w:val="auto"/>
                <w:sz w:val="24"/>
                <w:szCs w:val="24"/>
              </w:rPr>
              <w:t xml:space="preserve"> from FPS1992 with 30 years’ service</w:t>
            </w:r>
          </w:p>
        </w:tc>
      </w:tr>
      <w:tr w:rsidR="002F0430" w:rsidRPr="00C14F50" w14:paraId="644AFEA5"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F37548E" w14:textId="77777777" w:rsidR="002F0430" w:rsidRPr="001F332C" w:rsidRDefault="002F0430"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Final Pensionable Pay</w:t>
            </w:r>
          </w:p>
        </w:tc>
        <w:tc>
          <w:tcPr>
            <w:tcW w:w="2693" w:type="dxa"/>
          </w:tcPr>
          <w:p w14:paraId="28B38CA0" w14:textId="77777777" w:rsidR="002F0430" w:rsidRPr="001F332C"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1446" w:type="dxa"/>
          </w:tcPr>
          <w:p w14:paraId="0B26A314" w14:textId="77777777" w:rsidR="002F0430" w:rsidRPr="001F332C"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£100,000</w:t>
            </w:r>
          </w:p>
        </w:tc>
      </w:tr>
      <w:tr w:rsidR="002F0430" w:rsidRPr="00C14F50" w14:paraId="45934CC4" w14:textId="77777777" w:rsidTr="00921F46">
        <w:tc>
          <w:tcPr>
            <w:cnfStyle w:val="001000000000" w:firstRow="0" w:lastRow="0" w:firstColumn="1" w:lastColumn="0" w:oddVBand="0" w:evenVBand="0" w:oddHBand="0" w:evenHBand="0" w:firstRowFirstColumn="0" w:firstRowLastColumn="0" w:lastRowFirstColumn="0" w:lastRowLastColumn="0"/>
            <w:tcW w:w="4928" w:type="dxa"/>
          </w:tcPr>
          <w:p w14:paraId="2C17EB9D" w14:textId="77777777" w:rsidR="002F0430" w:rsidRPr="001F332C" w:rsidRDefault="002F0430"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Pensionable Service</w:t>
            </w:r>
          </w:p>
        </w:tc>
        <w:tc>
          <w:tcPr>
            <w:tcW w:w="2693" w:type="dxa"/>
          </w:tcPr>
          <w:p w14:paraId="2CB6C08D" w14:textId="77777777" w:rsidR="002F0430" w:rsidRPr="001F332C"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30 years, counting as</w:t>
            </w:r>
          </w:p>
        </w:tc>
        <w:tc>
          <w:tcPr>
            <w:tcW w:w="1446" w:type="dxa"/>
          </w:tcPr>
          <w:p w14:paraId="7A05A4E1" w14:textId="77777777" w:rsidR="002F0430" w:rsidRPr="001F332C"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 xml:space="preserve">40/60ths </w:t>
            </w:r>
          </w:p>
        </w:tc>
      </w:tr>
      <w:tr w:rsidR="002F0430" w:rsidRPr="00C14F50" w14:paraId="0F4526EB"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EF4CCF3" w14:textId="77777777" w:rsidR="002F0430" w:rsidRPr="001F332C" w:rsidRDefault="002F0430"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before commutation</w:t>
            </w:r>
          </w:p>
        </w:tc>
        <w:tc>
          <w:tcPr>
            <w:tcW w:w="2693" w:type="dxa"/>
          </w:tcPr>
          <w:p w14:paraId="506766A2" w14:textId="15A70581" w:rsidR="002F0430" w:rsidRPr="001F332C"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w:t>
            </w:r>
            <w:r w:rsidR="000E7E4B">
              <w:rPr>
                <w:rFonts w:ascii="Arial" w:eastAsia="Calibri" w:hAnsi="Arial" w:cs="Arial"/>
                <w:color w:val="000000"/>
                <w:sz w:val="24"/>
                <w:szCs w:val="24"/>
              </w:rPr>
              <w:t>100</w:t>
            </w:r>
            <w:r w:rsidRPr="001F332C">
              <w:rPr>
                <w:rFonts w:ascii="Arial" w:eastAsia="Calibri" w:hAnsi="Arial" w:cs="Arial"/>
                <w:color w:val="000000"/>
                <w:sz w:val="24"/>
                <w:szCs w:val="24"/>
              </w:rPr>
              <w:t xml:space="preserve">,000 x 40/60ths </w:t>
            </w:r>
          </w:p>
        </w:tc>
        <w:tc>
          <w:tcPr>
            <w:tcW w:w="1446" w:type="dxa"/>
          </w:tcPr>
          <w:p w14:paraId="29D94552" w14:textId="77777777" w:rsidR="002F0430" w:rsidRPr="001F332C"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£66,667 p.a.</w:t>
            </w:r>
          </w:p>
        </w:tc>
      </w:tr>
      <w:tr w:rsidR="002F0430" w:rsidRPr="00C14F50" w14:paraId="2FACD86E" w14:textId="77777777" w:rsidTr="00921F46">
        <w:tc>
          <w:tcPr>
            <w:cnfStyle w:val="001000000000" w:firstRow="0" w:lastRow="0" w:firstColumn="1" w:lastColumn="0" w:oddVBand="0" w:evenVBand="0" w:oddHBand="0" w:evenHBand="0" w:firstRowFirstColumn="0" w:firstRowLastColumn="0" w:lastRowFirstColumn="0" w:lastRowLastColumn="0"/>
            <w:tcW w:w="4928" w:type="dxa"/>
          </w:tcPr>
          <w:p w14:paraId="6AF2CDD3" w14:textId="77777777" w:rsidR="002F0430" w:rsidRPr="001F332C" w:rsidRDefault="002F0430"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after commutation</w:t>
            </w:r>
          </w:p>
        </w:tc>
        <w:tc>
          <w:tcPr>
            <w:tcW w:w="2693" w:type="dxa"/>
          </w:tcPr>
          <w:p w14:paraId="7FCF0A4A" w14:textId="77777777" w:rsidR="002F0430" w:rsidRPr="001F332C"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p>
        </w:tc>
        <w:tc>
          <w:tcPr>
            <w:tcW w:w="1446" w:type="dxa"/>
          </w:tcPr>
          <w:p w14:paraId="44CAB5CA" w14:textId="77777777" w:rsidR="002F0430" w:rsidRPr="001F332C"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£50,000p.a.</w:t>
            </w:r>
          </w:p>
        </w:tc>
      </w:tr>
      <w:tr w:rsidR="002F0430" w:rsidRPr="00C14F50" w14:paraId="64F6CDDB"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4F7C9D5" w14:textId="77777777" w:rsidR="002F0430" w:rsidRPr="001F332C" w:rsidRDefault="002F0430"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Lump Sum maximum (25% of pension x commutation factor of 21.9 at age 55)</w:t>
            </w:r>
          </w:p>
        </w:tc>
        <w:tc>
          <w:tcPr>
            <w:tcW w:w="2693" w:type="dxa"/>
          </w:tcPr>
          <w:p w14:paraId="0106AA01" w14:textId="77777777" w:rsidR="002F0430" w:rsidRPr="001F332C"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1446" w:type="dxa"/>
          </w:tcPr>
          <w:p w14:paraId="77B48F9F" w14:textId="77777777" w:rsidR="002F0430" w:rsidRPr="001F332C"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£365,000</w:t>
            </w:r>
          </w:p>
        </w:tc>
      </w:tr>
      <w:tr w:rsidR="002F0430" w:rsidRPr="00C14F50" w14:paraId="20140622" w14:textId="77777777" w:rsidTr="00921F46">
        <w:tc>
          <w:tcPr>
            <w:cnfStyle w:val="001000000000" w:firstRow="0" w:lastRow="0" w:firstColumn="1" w:lastColumn="0" w:oddVBand="0" w:evenVBand="0" w:oddHBand="0" w:evenHBand="0" w:firstRowFirstColumn="0" w:firstRowLastColumn="0" w:lastRowFirstColumn="0" w:lastRowLastColumn="0"/>
            <w:tcW w:w="7621" w:type="dxa"/>
            <w:gridSpan w:val="2"/>
          </w:tcPr>
          <w:p w14:paraId="6B44431E" w14:textId="77777777" w:rsidR="002F0430" w:rsidRPr="001F332C" w:rsidRDefault="002F0430" w:rsidP="00921F46">
            <w:pPr>
              <w:autoSpaceDE w:val="0"/>
              <w:autoSpaceDN w:val="0"/>
              <w:adjustRightInd w:val="0"/>
              <w:spacing w:before="40" w:after="40"/>
              <w:jc w:val="both"/>
              <w:rPr>
                <w:rFonts w:ascii="Arial" w:eastAsia="Calibri" w:hAnsi="Arial" w:cs="Arial"/>
                <w:sz w:val="24"/>
                <w:szCs w:val="24"/>
              </w:rPr>
            </w:pPr>
            <w:r w:rsidRPr="001F332C">
              <w:rPr>
                <w:rFonts w:ascii="Arial" w:eastAsia="Calibri" w:hAnsi="Arial" w:cs="Arial"/>
                <w:sz w:val="24"/>
                <w:szCs w:val="24"/>
              </w:rPr>
              <w:t>Lifetime Allowance capital value of commuted pension benefits</w:t>
            </w:r>
          </w:p>
        </w:tc>
        <w:tc>
          <w:tcPr>
            <w:tcW w:w="1446" w:type="dxa"/>
          </w:tcPr>
          <w:p w14:paraId="34CFB9B4" w14:textId="77777777" w:rsidR="002F0430" w:rsidRPr="001F332C"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r w:rsidRPr="001F332C">
              <w:rPr>
                <w:rFonts w:ascii="Arial" w:eastAsia="Calibri" w:hAnsi="Arial" w:cs="Arial"/>
                <w:b/>
                <w:sz w:val="24"/>
                <w:szCs w:val="24"/>
              </w:rPr>
              <w:t>£1,365,000</w:t>
            </w:r>
          </w:p>
        </w:tc>
      </w:tr>
    </w:tbl>
    <w:p w14:paraId="3B3C14BA" w14:textId="77777777" w:rsidR="002F0430" w:rsidRPr="001F332C" w:rsidRDefault="002F0430" w:rsidP="002F0430">
      <w:pPr>
        <w:autoSpaceDE w:val="0"/>
        <w:autoSpaceDN w:val="0"/>
        <w:adjustRightInd w:val="0"/>
        <w:spacing w:after="0" w:line="240" w:lineRule="auto"/>
        <w:jc w:val="both"/>
        <w:rPr>
          <w:rFonts w:ascii="Arial" w:eastAsia="Calibri" w:hAnsi="Arial" w:cs="Arial"/>
          <w:b/>
          <w:bCs/>
          <w:color w:val="000000"/>
          <w:sz w:val="24"/>
          <w:szCs w:val="24"/>
          <w:highlight w:val="yellow"/>
        </w:rPr>
      </w:pPr>
    </w:p>
    <w:p w14:paraId="0AF3FD43" w14:textId="1EB83555" w:rsidR="002F0430" w:rsidRPr="001F332C" w:rsidRDefault="002F0430" w:rsidP="002F0430">
      <w:pPr>
        <w:autoSpaceDE w:val="0"/>
        <w:autoSpaceDN w:val="0"/>
        <w:adjustRightInd w:val="0"/>
        <w:spacing w:after="0" w:line="240" w:lineRule="auto"/>
        <w:jc w:val="both"/>
        <w:rPr>
          <w:rFonts w:ascii="Arial" w:eastAsia="Calibri" w:hAnsi="Arial" w:cs="Arial"/>
          <w:sz w:val="24"/>
          <w:szCs w:val="24"/>
        </w:rPr>
      </w:pPr>
      <w:r w:rsidRPr="001F332C">
        <w:rPr>
          <w:rFonts w:ascii="Arial" w:eastAsia="Calibri" w:hAnsi="Arial" w:cs="Arial"/>
          <w:sz w:val="24"/>
          <w:szCs w:val="24"/>
        </w:rPr>
        <w:t>The capital value (for Lifetime Allowance) of Sunil’s benefits after commutation would be £1,365,000 (£50,000 x 20 plus £365,000). As this is £</w:t>
      </w:r>
      <w:r w:rsidR="00680072">
        <w:rPr>
          <w:rFonts w:ascii="Arial" w:eastAsia="Calibri" w:hAnsi="Arial" w:cs="Arial"/>
          <w:sz w:val="24"/>
          <w:szCs w:val="24"/>
        </w:rPr>
        <w:t>291,900</w:t>
      </w:r>
      <w:r w:rsidRPr="001F332C">
        <w:rPr>
          <w:rFonts w:ascii="Arial" w:eastAsia="Calibri" w:hAnsi="Arial" w:cs="Arial"/>
          <w:sz w:val="24"/>
          <w:szCs w:val="24"/>
        </w:rPr>
        <w:t xml:space="preserve"> above the current LTA a Lifetime Allowance tax charge would be due on this amount.</w:t>
      </w:r>
    </w:p>
    <w:p w14:paraId="4D47B713" w14:textId="77777777" w:rsidR="002F0430" w:rsidRPr="001F332C" w:rsidRDefault="002F0430" w:rsidP="002F0430">
      <w:pPr>
        <w:autoSpaceDE w:val="0"/>
        <w:autoSpaceDN w:val="0"/>
        <w:adjustRightInd w:val="0"/>
        <w:spacing w:after="0" w:line="240" w:lineRule="auto"/>
        <w:jc w:val="both"/>
        <w:rPr>
          <w:rFonts w:ascii="Arial" w:eastAsia="Calibri" w:hAnsi="Arial" w:cs="Arial"/>
          <w:sz w:val="24"/>
          <w:szCs w:val="24"/>
        </w:rPr>
      </w:pPr>
    </w:p>
    <w:p w14:paraId="53473588" w14:textId="77777777" w:rsidR="002F0430" w:rsidRPr="001F332C" w:rsidRDefault="002F0430" w:rsidP="002F0430">
      <w:pPr>
        <w:autoSpaceDE w:val="0"/>
        <w:autoSpaceDN w:val="0"/>
        <w:adjustRightInd w:val="0"/>
        <w:spacing w:after="0" w:line="240" w:lineRule="auto"/>
        <w:jc w:val="both"/>
        <w:rPr>
          <w:rFonts w:ascii="Arial" w:eastAsia="Calibri" w:hAnsi="Arial" w:cs="Arial"/>
          <w:color w:val="000000"/>
          <w:sz w:val="24"/>
          <w:szCs w:val="24"/>
        </w:rPr>
      </w:pPr>
      <w:r w:rsidRPr="001F332C">
        <w:rPr>
          <w:rFonts w:ascii="Arial" w:eastAsia="Calibri" w:hAnsi="Arial" w:cs="Arial"/>
          <w:color w:val="000000"/>
          <w:sz w:val="24"/>
          <w:szCs w:val="24"/>
        </w:rPr>
        <w:t>Sunil takes his estimate to a financial advisor. During their meeting, the advisor discovers Sunil had not previously applied for any LTA protection. The advisor recommends Sunil asks for an estimate of his pension benefits at 6 April 2016 to see if he can apply for Individual Protection 2016 in order to retain a protected lifetime allowance equal to the value of his pension rights at that time.</w:t>
      </w:r>
    </w:p>
    <w:p w14:paraId="6DDD963E" w14:textId="77777777" w:rsidR="002F0430" w:rsidRPr="001F332C" w:rsidRDefault="002F0430" w:rsidP="002F0430">
      <w:pPr>
        <w:autoSpaceDE w:val="0"/>
        <w:autoSpaceDN w:val="0"/>
        <w:adjustRightInd w:val="0"/>
        <w:spacing w:after="0" w:line="240" w:lineRule="auto"/>
        <w:jc w:val="both"/>
        <w:rPr>
          <w:rFonts w:ascii="Arial" w:eastAsia="Calibri" w:hAnsi="Arial" w:cs="Arial"/>
          <w:color w:val="000000"/>
          <w:sz w:val="24"/>
          <w:szCs w:val="24"/>
        </w:rPr>
      </w:pPr>
    </w:p>
    <w:p w14:paraId="68D9C1AE" w14:textId="77777777" w:rsidR="002F0430" w:rsidRPr="001F332C" w:rsidRDefault="002F0430" w:rsidP="002F0430">
      <w:pPr>
        <w:autoSpaceDE w:val="0"/>
        <w:autoSpaceDN w:val="0"/>
        <w:adjustRightInd w:val="0"/>
        <w:spacing w:after="0" w:line="240" w:lineRule="auto"/>
        <w:jc w:val="both"/>
        <w:rPr>
          <w:rFonts w:ascii="Arial" w:eastAsia="Calibri" w:hAnsi="Arial" w:cs="Arial"/>
          <w:b/>
          <w:bCs/>
          <w:color w:val="000000"/>
          <w:sz w:val="24"/>
          <w:szCs w:val="24"/>
          <w:highlight w:val="yellow"/>
        </w:rPr>
      </w:pPr>
      <w:r w:rsidRPr="001F332C">
        <w:rPr>
          <w:rFonts w:ascii="Arial" w:eastAsia="Calibri" w:hAnsi="Arial" w:cs="Arial"/>
          <w:color w:val="000000"/>
          <w:sz w:val="24"/>
          <w:szCs w:val="24"/>
        </w:rPr>
        <w:t xml:space="preserve">In order for Sunil to be eligible for IP2016, his benefits at 6 April 2016 must have been more than £1m. As he had not retired at that point, it is the pension </w:t>
      </w:r>
      <w:r w:rsidRPr="001F332C">
        <w:rPr>
          <w:rFonts w:ascii="Arial" w:eastAsia="Calibri" w:hAnsi="Arial" w:cs="Arial"/>
          <w:b/>
          <w:color w:val="000000"/>
          <w:sz w:val="24"/>
          <w:szCs w:val="24"/>
        </w:rPr>
        <w:t>before</w:t>
      </w:r>
      <w:r w:rsidRPr="001F332C">
        <w:rPr>
          <w:rFonts w:ascii="Arial" w:eastAsia="Calibri" w:hAnsi="Arial" w:cs="Arial"/>
          <w:color w:val="000000"/>
          <w:sz w:val="24"/>
          <w:szCs w:val="24"/>
        </w:rPr>
        <w:t xml:space="preserve"> commutation built up at 6 April 2016 that must be used in the calculation.</w:t>
      </w:r>
    </w:p>
    <w:p w14:paraId="04E8257A" w14:textId="77777777" w:rsidR="002F0430" w:rsidRPr="001F332C" w:rsidRDefault="002F0430" w:rsidP="002F0430">
      <w:pPr>
        <w:autoSpaceDE w:val="0"/>
        <w:autoSpaceDN w:val="0"/>
        <w:adjustRightInd w:val="0"/>
        <w:spacing w:after="0" w:line="240" w:lineRule="auto"/>
        <w:jc w:val="both"/>
        <w:rPr>
          <w:rFonts w:ascii="Arial" w:eastAsia="Calibri" w:hAnsi="Arial" w:cs="Arial"/>
          <w:b/>
          <w:bCs/>
          <w:color w:val="000000"/>
          <w:sz w:val="24"/>
          <w:szCs w:val="24"/>
          <w:highlight w:val="yellow"/>
        </w:rPr>
      </w:pPr>
    </w:p>
    <w:tbl>
      <w:tblPr>
        <w:tblStyle w:val="GridTable4-Accent6"/>
        <w:tblW w:w="9067" w:type="dxa"/>
        <w:tblLook w:val="04A0" w:firstRow="1" w:lastRow="0" w:firstColumn="1" w:lastColumn="0" w:noHBand="0" w:noVBand="1"/>
      </w:tblPr>
      <w:tblGrid>
        <w:gridCol w:w="3652"/>
        <w:gridCol w:w="2410"/>
        <w:gridCol w:w="3005"/>
      </w:tblGrid>
      <w:tr w:rsidR="002F0430" w:rsidRPr="00C14F50" w14:paraId="68CE6E10" w14:textId="77777777" w:rsidTr="0092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Pr>
          <w:p w14:paraId="58F2770F" w14:textId="77777777" w:rsidR="002F0430" w:rsidRPr="001F332C" w:rsidRDefault="002F0430" w:rsidP="00921F46">
            <w:pPr>
              <w:autoSpaceDE w:val="0"/>
              <w:autoSpaceDN w:val="0"/>
              <w:adjustRightInd w:val="0"/>
              <w:spacing w:before="80" w:after="80"/>
              <w:jc w:val="both"/>
              <w:rPr>
                <w:rFonts w:ascii="Arial" w:eastAsia="Calibri" w:hAnsi="Arial" w:cs="Arial"/>
                <w:color w:val="FFFFFF"/>
                <w:sz w:val="24"/>
                <w:szCs w:val="24"/>
              </w:rPr>
            </w:pPr>
            <w:r w:rsidRPr="005A44B5">
              <w:rPr>
                <w:rFonts w:ascii="Arial" w:eastAsia="Calibri" w:hAnsi="Arial" w:cs="Arial"/>
                <w:color w:val="auto"/>
                <w:sz w:val="24"/>
                <w:szCs w:val="24"/>
              </w:rPr>
              <w:t>Sunil’s pension at 6 April 2016</w:t>
            </w:r>
          </w:p>
        </w:tc>
      </w:tr>
      <w:tr w:rsidR="002F0430" w:rsidRPr="00C14F50" w14:paraId="3B124C0C"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2614011" w14:textId="77777777" w:rsidR="002F0430" w:rsidRPr="001F332C" w:rsidRDefault="002F0430" w:rsidP="00921F46">
            <w:pPr>
              <w:autoSpaceDE w:val="0"/>
              <w:autoSpaceDN w:val="0"/>
              <w:adjustRightInd w:val="0"/>
              <w:spacing w:before="80" w:after="80"/>
              <w:jc w:val="both"/>
              <w:rPr>
                <w:rFonts w:ascii="Arial" w:eastAsia="Calibri" w:hAnsi="Arial" w:cs="Arial"/>
                <w:color w:val="000000"/>
                <w:sz w:val="24"/>
                <w:szCs w:val="24"/>
              </w:rPr>
            </w:pPr>
            <w:r w:rsidRPr="001F332C">
              <w:rPr>
                <w:rFonts w:ascii="Arial" w:eastAsia="Calibri" w:hAnsi="Arial" w:cs="Arial"/>
                <w:color w:val="000000"/>
                <w:sz w:val="24"/>
                <w:szCs w:val="24"/>
              </w:rPr>
              <w:t>Final Pensionable Pay</w:t>
            </w:r>
          </w:p>
        </w:tc>
        <w:tc>
          <w:tcPr>
            <w:tcW w:w="0" w:type="dxa"/>
          </w:tcPr>
          <w:p w14:paraId="77E3A75C" w14:textId="77777777" w:rsidR="002F0430" w:rsidRPr="001F332C" w:rsidRDefault="002F0430" w:rsidP="00921F46">
            <w:pPr>
              <w:autoSpaceDE w:val="0"/>
              <w:autoSpaceDN w:val="0"/>
              <w:adjustRightInd w:val="0"/>
              <w:spacing w:before="80" w:after="8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0" w:type="dxa"/>
          </w:tcPr>
          <w:p w14:paraId="739876CB" w14:textId="77777777" w:rsidR="002F0430" w:rsidRPr="001F332C"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£94,000</w:t>
            </w:r>
          </w:p>
        </w:tc>
      </w:tr>
      <w:tr w:rsidR="002F0430" w:rsidRPr="00C14F50" w14:paraId="72C7519E" w14:textId="77777777" w:rsidTr="00921F46">
        <w:tc>
          <w:tcPr>
            <w:cnfStyle w:val="001000000000" w:firstRow="0" w:lastRow="0" w:firstColumn="1" w:lastColumn="0" w:oddVBand="0" w:evenVBand="0" w:oddHBand="0" w:evenHBand="0" w:firstRowFirstColumn="0" w:firstRowLastColumn="0" w:lastRowFirstColumn="0" w:lastRowLastColumn="0"/>
            <w:tcW w:w="0" w:type="dxa"/>
          </w:tcPr>
          <w:p w14:paraId="47FC3D67" w14:textId="77777777" w:rsidR="002F0430" w:rsidRPr="001F332C" w:rsidRDefault="002F0430" w:rsidP="00921F46">
            <w:pPr>
              <w:autoSpaceDE w:val="0"/>
              <w:autoSpaceDN w:val="0"/>
              <w:adjustRightInd w:val="0"/>
              <w:spacing w:before="80" w:after="80"/>
              <w:jc w:val="both"/>
              <w:rPr>
                <w:rFonts w:ascii="Arial" w:eastAsia="Calibri" w:hAnsi="Arial" w:cs="Arial"/>
                <w:color w:val="000000"/>
                <w:sz w:val="24"/>
                <w:szCs w:val="24"/>
              </w:rPr>
            </w:pPr>
            <w:r w:rsidRPr="001F332C">
              <w:rPr>
                <w:rFonts w:ascii="Arial" w:eastAsia="Calibri" w:hAnsi="Arial" w:cs="Arial"/>
                <w:color w:val="000000"/>
                <w:sz w:val="24"/>
                <w:szCs w:val="24"/>
              </w:rPr>
              <w:t>Pensionable Service</w:t>
            </w:r>
          </w:p>
        </w:tc>
        <w:tc>
          <w:tcPr>
            <w:tcW w:w="0" w:type="dxa"/>
          </w:tcPr>
          <w:p w14:paraId="32CC787A" w14:textId="77777777" w:rsidR="002F0430" w:rsidRPr="001F332C" w:rsidRDefault="002F0430" w:rsidP="00921F46">
            <w:pPr>
              <w:autoSpaceDE w:val="0"/>
              <w:autoSpaceDN w:val="0"/>
              <w:adjustRightInd w:val="0"/>
              <w:spacing w:before="80" w:after="8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27.5 years, counting as</w:t>
            </w:r>
          </w:p>
        </w:tc>
        <w:tc>
          <w:tcPr>
            <w:tcW w:w="0" w:type="dxa"/>
          </w:tcPr>
          <w:p w14:paraId="6936B4EA" w14:textId="77777777" w:rsidR="002F0430" w:rsidRPr="001F332C"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 xml:space="preserve">35/60ths </w:t>
            </w:r>
          </w:p>
        </w:tc>
      </w:tr>
      <w:tr w:rsidR="002F0430" w:rsidRPr="00C14F50" w14:paraId="08EA8768"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39307B8" w14:textId="77777777" w:rsidR="002F0430" w:rsidRPr="001F332C" w:rsidRDefault="002F0430" w:rsidP="00921F46">
            <w:pPr>
              <w:autoSpaceDE w:val="0"/>
              <w:autoSpaceDN w:val="0"/>
              <w:adjustRightInd w:val="0"/>
              <w:spacing w:before="80" w:after="8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before commutation</w:t>
            </w:r>
          </w:p>
        </w:tc>
        <w:tc>
          <w:tcPr>
            <w:tcW w:w="0" w:type="dxa"/>
          </w:tcPr>
          <w:p w14:paraId="1A9BF849" w14:textId="77777777" w:rsidR="002F0430" w:rsidRPr="001F332C" w:rsidRDefault="002F0430" w:rsidP="00921F46">
            <w:pPr>
              <w:autoSpaceDE w:val="0"/>
              <w:autoSpaceDN w:val="0"/>
              <w:adjustRightInd w:val="0"/>
              <w:spacing w:before="80" w:after="8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 xml:space="preserve">£94,000 x 35/60ths </w:t>
            </w:r>
          </w:p>
        </w:tc>
        <w:tc>
          <w:tcPr>
            <w:tcW w:w="0" w:type="dxa"/>
          </w:tcPr>
          <w:p w14:paraId="6C90C536" w14:textId="77777777" w:rsidR="002F0430" w:rsidRPr="001F332C" w:rsidRDefault="002F0430"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£54,833 p.a.</w:t>
            </w:r>
          </w:p>
        </w:tc>
      </w:tr>
      <w:tr w:rsidR="002F0430" w:rsidRPr="00C14F50" w14:paraId="030F472A" w14:textId="77777777" w:rsidTr="00921F46">
        <w:tc>
          <w:tcPr>
            <w:cnfStyle w:val="001000000000" w:firstRow="0" w:lastRow="0" w:firstColumn="1" w:lastColumn="0" w:oddVBand="0" w:evenVBand="0" w:oddHBand="0" w:evenHBand="0" w:firstRowFirstColumn="0" w:firstRowLastColumn="0" w:lastRowFirstColumn="0" w:lastRowLastColumn="0"/>
            <w:tcW w:w="0" w:type="dxa"/>
            <w:gridSpan w:val="2"/>
          </w:tcPr>
          <w:p w14:paraId="28594BB8" w14:textId="77777777" w:rsidR="002F0430" w:rsidRPr="001F332C" w:rsidRDefault="002F0430" w:rsidP="00921F46">
            <w:pPr>
              <w:autoSpaceDE w:val="0"/>
              <w:autoSpaceDN w:val="0"/>
              <w:adjustRightInd w:val="0"/>
              <w:spacing w:before="80" w:after="80"/>
              <w:jc w:val="both"/>
              <w:rPr>
                <w:rFonts w:ascii="Arial" w:eastAsia="Calibri" w:hAnsi="Arial" w:cs="Arial"/>
                <w:sz w:val="24"/>
                <w:szCs w:val="24"/>
              </w:rPr>
            </w:pPr>
            <w:r w:rsidRPr="001F332C">
              <w:rPr>
                <w:rFonts w:ascii="Arial" w:eastAsia="Calibri" w:hAnsi="Arial" w:cs="Arial"/>
                <w:sz w:val="24"/>
                <w:szCs w:val="24"/>
              </w:rPr>
              <w:t xml:space="preserve">Capital Value of benefits (£54,833 x 20) </w:t>
            </w:r>
          </w:p>
        </w:tc>
        <w:tc>
          <w:tcPr>
            <w:tcW w:w="0" w:type="dxa"/>
          </w:tcPr>
          <w:p w14:paraId="04BA8865" w14:textId="77777777" w:rsidR="002F0430" w:rsidRPr="001F332C" w:rsidRDefault="002F0430"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r w:rsidRPr="001F332C">
              <w:rPr>
                <w:rFonts w:ascii="Arial" w:eastAsia="Calibri" w:hAnsi="Arial" w:cs="Arial"/>
                <w:b/>
                <w:sz w:val="24"/>
                <w:szCs w:val="24"/>
              </w:rPr>
              <w:t>£1,096,660</w:t>
            </w:r>
          </w:p>
        </w:tc>
      </w:tr>
    </w:tbl>
    <w:p w14:paraId="7C29B9C5" w14:textId="77777777" w:rsidR="002F0430" w:rsidRPr="001F332C" w:rsidRDefault="002F0430" w:rsidP="002F0430">
      <w:pPr>
        <w:autoSpaceDE w:val="0"/>
        <w:autoSpaceDN w:val="0"/>
        <w:adjustRightInd w:val="0"/>
        <w:spacing w:after="0" w:line="240" w:lineRule="auto"/>
        <w:jc w:val="both"/>
        <w:rPr>
          <w:rFonts w:ascii="Arial" w:eastAsia="Calibri" w:hAnsi="Arial" w:cs="Arial"/>
          <w:b/>
          <w:bCs/>
          <w:color w:val="000000"/>
          <w:sz w:val="24"/>
          <w:szCs w:val="24"/>
          <w:highlight w:val="yellow"/>
        </w:rPr>
      </w:pPr>
    </w:p>
    <w:p w14:paraId="67C8BE84" w14:textId="698C479E" w:rsidR="002F0430" w:rsidRPr="001F332C" w:rsidRDefault="002F0430" w:rsidP="002F0430">
      <w:pPr>
        <w:autoSpaceDE w:val="0"/>
        <w:autoSpaceDN w:val="0"/>
        <w:adjustRightInd w:val="0"/>
        <w:spacing w:after="0" w:line="240" w:lineRule="auto"/>
        <w:jc w:val="both"/>
        <w:rPr>
          <w:rFonts w:ascii="Arial" w:eastAsia="Calibri" w:hAnsi="Arial" w:cs="Arial"/>
          <w:bCs/>
          <w:sz w:val="24"/>
          <w:szCs w:val="24"/>
        </w:rPr>
      </w:pPr>
      <w:r w:rsidRPr="001F332C">
        <w:rPr>
          <w:rFonts w:ascii="Arial" w:eastAsia="Calibri" w:hAnsi="Arial" w:cs="Arial"/>
          <w:bCs/>
          <w:sz w:val="24"/>
          <w:szCs w:val="24"/>
        </w:rPr>
        <w:t>As Sunil’s benefits were greater than £1m at 6 April 2016 before he retires</w:t>
      </w:r>
      <w:r w:rsidR="00186B38">
        <w:rPr>
          <w:rFonts w:ascii="Arial" w:eastAsia="Calibri" w:hAnsi="Arial" w:cs="Arial"/>
          <w:bCs/>
          <w:sz w:val="24"/>
          <w:szCs w:val="24"/>
        </w:rPr>
        <w:t>,</w:t>
      </w:r>
      <w:r w:rsidRPr="001F332C">
        <w:rPr>
          <w:rFonts w:ascii="Arial" w:eastAsia="Calibri" w:hAnsi="Arial" w:cs="Arial"/>
          <w:bCs/>
          <w:sz w:val="24"/>
          <w:szCs w:val="24"/>
        </w:rPr>
        <w:t xml:space="preserve"> he elects for IP2016 to protect his LTA at £1,096,660.</w:t>
      </w:r>
    </w:p>
    <w:p w14:paraId="50FBDE68" w14:textId="77777777" w:rsidR="00921F46" w:rsidRPr="001F332C" w:rsidRDefault="00921F46" w:rsidP="002F0430">
      <w:pPr>
        <w:autoSpaceDE w:val="0"/>
        <w:autoSpaceDN w:val="0"/>
        <w:adjustRightInd w:val="0"/>
        <w:spacing w:after="0" w:line="240" w:lineRule="auto"/>
        <w:jc w:val="both"/>
        <w:rPr>
          <w:rFonts w:ascii="Arial" w:eastAsia="Calibri" w:hAnsi="Arial" w:cs="Arial"/>
          <w:bCs/>
          <w:sz w:val="24"/>
          <w:szCs w:val="24"/>
        </w:rPr>
      </w:pPr>
    </w:p>
    <w:p w14:paraId="69902ECB" w14:textId="6FE0C91D" w:rsidR="004B716A" w:rsidRDefault="00921F46" w:rsidP="002F0430">
      <w:pPr>
        <w:autoSpaceDE w:val="0"/>
        <w:autoSpaceDN w:val="0"/>
        <w:adjustRightInd w:val="0"/>
        <w:spacing w:after="0" w:line="240" w:lineRule="auto"/>
        <w:jc w:val="both"/>
        <w:rPr>
          <w:rFonts w:ascii="Arial" w:eastAsia="Calibri" w:hAnsi="Arial" w:cs="Arial"/>
          <w:bCs/>
          <w:sz w:val="24"/>
          <w:szCs w:val="24"/>
        </w:rPr>
      </w:pPr>
      <w:r w:rsidRPr="001F332C">
        <w:rPr>
          <w:rFonts w:ascii="Arial" w:eastAsia="Calibri" w:hAnsi="Arial" w:cs="Arial"/>
          <w:bCs/>
          <w:sz w:val="24"/>
          <w:szCs w:val="24"/>
        </w:rPr>
        <w:t xml:space="preserve">The maximum lump sum HMRC will allow without a tax charge is 25% of LTA. Any amount of lump sum which exceeds this is taxable at 55%. </w:t>
      </w:r>
    </w:p>
    <w:p w14:paraId="1D905AE5" w14:textId="77777777" w:rsidR="004B716A" w:rsidRDefault="004B716A">
      <w:pPr>
        <w:rPr>
          <w:rFonts w:ascii="Arial" w:eastAsia="Calibri" w:hAnsi="Arial" w:cs="Arial"/>
          <w:bCs/>
          <w:sz w:val="24"/>
          <w:szCs w:val="24"/>
        </w:rPr>
      </w:pPr>
      <w:r>
        <w:rPr>
          <w:rFonts w:ascii="Arial" w:eastAsia="Calibri" w:hAnsi="Arial" w:cs="Arial"/>
          <w:bCs/>
          <w:sz w:val="24"/>
          <w:szCs w:val="24"/>
        </w:rPr>
        <w:br w:type="page"/>
      </w:r>
    </w:p>
    <w:p w14:paraId="376D1C3B" w14:textId="77777777" w:rsidR="00921F46" w:rsidRPr="001F332C" w:rsidRDefault="00921F46" w:rsidP="002F0430">
      <w:pPr>
        <w:autoSpaceDE w:val="0"/>
        <w:autoSpaceDN w:val="0"/>
        <w:adjustRightInd w:val="0"/>
        <w:spacing w:after="0" w:line="240" w:lineRule="auto"/>
        <w:jc w:val="both"/>
        <w:rPr>
          <w:rFonts w:ascii="Arial" w:eastAsia="Calibri" w:hAnsi="Arial" w:cs="Arial"/>
          <w:bCs/>
          <w:sz w:val="24"/>
          <w:szCs w:val="24"/>
        </w:rPr>
      </w:pPr>
    </w:p>
    <w:p w14:paraId="5928B868" w14:textId="77777777" w:rsidR="00921F46" w:rsidRPr="001F332C" w:rsidRDefault="00921F46" w:rsidP="002F0430">
      <w:pPr>
        <w:autoSpaceDE w:val="0"/>
        <w:autoSpaceDN w:val="0"/>
        <w:adjustRightInd w:val="0"/>
        <w:spacing w:after="0" w:line="240" w:lineRule="auto"/>
        <w:jc w:val="both"/>
        <w:rPr>
          <w:rFonts w:ascii="Arial" w:eastAsia="Calibri" w:hAnsi="Arial" w:cs="Arial"/>
          <w:bCs/>
          <w:sz w:val="24"/>
          <w:szCs w:val="24"/>
        </w:rPr>
      </w:pPr>
    </w:p>
    <w:tbl>
      <w:tblPr>
        <w:tblStyle w:val="GridTable4-Accent6"/>
        <w:tblW w:w="9067" w:type="dxa"/>
        <w:tblLook w:val="04A0" w:firstRow="1" w:lastRow="0" w:firstColumn="1" w:lastColumn="0" w:noHBand="0" w:noVBand="1"/>
      </w:tblPr>
      <w:tblGrid>
        <w:gridCol w:w="4902"/>
        <w:gridCol w:w="2681"/>
        <w:gridCol w:w="1484"/>
      </w:tblGrid>
      <w:tr w:rsidR="00921F46" w:rsidRPr="00C14F50" w14:paraId="5B36591A" w14:textId="77777777" w:rsidTr="0092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056A5472" w14:textId="3397ED66" w:rsidR="00921F46" w:rsidRPr="001F332C" w:rsidRDefault="00F46FDD" w:rsidP="00921F46">
            <w:pPr>
              <w:autoSpaceDE w:val="0"/>
              <w:autoSpaceDN w:val="0"/>
              <w:adjustRightInd w:val="0"/>
              <w:spacing w:before="40" w:after="40"/>
              <w:jc w:val="both"/>
              <w:rPr>
                <w:rFonts w:ascii="Arial" w:eastAsia="Calibri" w:hAnsi="Arial" w:cs="Arial"/>
                <w:color w:val="FFFFFF"/>
                <w:sz w:val="24"/>
                <w:szCs w:val="24"/>
              </w:rPr>
            </w:pPr>
            <w:r w:rsidRPr="005A44B5">
              <w:rPr>
                <w:rFonts w:ascii="Arial" w:eastAsia="Calibri" w:hAnsi="Arial" w:cs="Arial"/>
                <w:color w:val="auto"/>
                <w:sz w:val="24"/>
                <w:szCs w:val="24"/>
              </w:rPr>
              <w:t>Revised forecast with lump sum restricted to HMRC maximum</w:t>
            </w:r>
          </w:p>
        </w:tc>
      </w:tr>
      <w:tr w:rsidR="00921F46" w:rsidRPr="00C14F50" w14:paraId="1781F1FD"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F05236B" w14:textId="77777777" w:rsidR="00921F46" w:rsidRPr="001F332C" w:rsidRDefault="00921F46"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Final Pensionable Pay</w:t>
            </w:r>
          </w:p>
        </w:tc>
        <w:tc>
          <w:tcPr>
            <w:tcW w:w="2693" w:type="dxa"/>
          </w:tcPr>
          <w:p w14:paraId="132CAC12" w14:textId="77777777" w:rsidR="00921F46" w:rsidRPr="001F332C"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1446" w:type="dxa"/>
          </w:tcPr>
          <w:p w14:paraId="33D1ED1B" w14:textId="77777777" w:rsidR="00921F46" w:rsidRPr="001F332C"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£100,000</w:t>
            </w:r>
          </w:p>
        </w:tc>
      </w:tr>
      <w:tr w:rsidR="00921F46" w:rsidRPr="00C14F50" w14:paraId="767BD0DC" w14:textId="77777777" w:rsidTr="00921F46">
        <w:tc>
          <w:tcPr>
            <w:cnfStyle w:val="001000000000" w:firstRow="0" w:lastRow="0" w:firstColumn="1" w:lastColumn="0" w:oddVBand="0" w:evenVBand="0" w:oddHBand="0" w:evenHBand="0" w:firstRowFirstColumn="0" w:firstRowLastColumn="0" w:lastRowFirstColumn="0" w:lastRowLastColumn="0"/>
            <w:tcW w:w="4928" w:type="dxa"/>
          </w:tcPr>
          <w:p w14:paraId="6F2D2DD4" w14:textId="77777777" w:rsidR="00921F46" w:rsidRPr="001F332C" w:rsidRDefault="00921F46"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Pensionable Service</w:t>
            </w:r>
          </w:p>
        </w:tc>
        <w:tc>
          <w:tcPr>
            <w:tcW w:w="2693" w:type="dxa"/>
          </w:tcPr>
          <w:p w14:paraId="334423B0" w14:textId="77777777" w:rsidR="00921F46" w:rsidRPr="001F332C" w:rsidRDefault="00921F46"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30 years, counting as</w:t>
            </w:r>
          </w:p>
        </w:tc>
        <w:tc>
          <w:tcPr>
            <w:tcW w:w="1446" w:type="dxa"/>
          </w:tcPr>
          <w:p w14:paraId="5819F293" w14:textId="77777777" w:rsidR="00921F46" w:rsidRPr="001F332C" w:rsidRDefault="00921F46"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 xml:space="preserve">40/60ths </w:t>
            </w:r>
          </w:p>
        </w:tc>
      </w:tr>
      <w:tr w:rsidR="00921F46" w:rsidRPr="00C14F50" w14:paraId="6050B0E1"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7087180" w14:textId="77777777" w:rsidR="00921F46" w:rsidRPr="001F332C" w:rsidRDefault="00921F46"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before commutation</w:t>
            </w:r>
          </w:p>
        </w:tc>
        <w:tc>
          <w:tcPr>
            <w:tcW w:w="2693" w:type="dxa"/>
          </w:tcPr>
          <w:p w14:paraId="69F6EC6D" w14:textId="15740A00" w:rsidR="00921F46" w:rsidRPr="001F332C"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w:t>
            </w:r>
            <w:r w:rsidR="000E7E4B">
              <w:rPr>
                <w:rFonts w:ascii="Arial" w:eastAsia="Calibri" w:hAnsi="Arial" w:cs="Arial"/>
                <w:color w:val="000000"/>
                <w:sz w:val="24"/>
                <w:szCs w:val="24"/>
              </w:rPr>
              <w:t>100</w:t>
            </w:r>
            <w:r w:rsidRPr="001F332C">
              <w:rPr>
                <w:rFonts w:ascii="Arial" w:eastAsia="Calibri" w:hAnsi="Arial" w:cs="Arial"/>
                <w:color w:val="000000"/>
                <w:sz w:val="24"/>
                <w:szCs w:val="24"/>
              </w:rPr>
              <w:t xml:space="preserve">,000 x 40/60ths </w:t>
            </w:r>
          </w:p>
        </w:tc>
        <w:tc>
          <w:tcPr>
            <w:tcW w:w="1446" w:type="dxa"/>
          </w:tcPr>
          <w:p w14:paraId="40D902E4" w14:textId="77777777" w:rsidR="00921F46" w:rsidRPr="001F332C"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£66,667 p.a.</w:t>
            </w:r>
          </w:p>
        </w:tc>
      </w:tr>
      <w:tr w:rsidR="00921F46" w:rsidRPr="00C14F50" w14:paraId="2E3BF969" w14:textId="77777777" w:rsidTr="00921F46">
        <w:tc>
          <w:tcPr>
            <w:cnfStyle w:val="001000000000" w:firstRow="0" w:lastRow="0" w:firstColumn="1" w:lastColumn="0" w:oddVBand="0" w:evenVBand="0" w:oddHBand="0" w:evenHBand="0" w:firstRowFirstColumn="0" w:firstRowLastColumn="0" w:lastRowFirstColumn="0" w:lastRowLastColumn="0"/>
            <w:tcW w:w="4928" w:type="dxa"/>
          </w:tcPr>
          <w:p w14:paraId="129E8F98" w14:textId="77777777" w:rsidR="00921F46" w:rsidRPr="001F332C" w:rsidRDefault="00921F46" w:rsidP="00921F46">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FPS Annual Pension after commutation</w:t>
            </w:r>
          </w:p>
        </w:tc>
        <w:tc>
          <w:tcPr>
            <w:tcW w:w="2693" w:type="dxa"/>
          </w:tcPr>
          <w:p w14:paraId="67F76440" w14:textId="77777777" w:rsidR="00921F46" w:rsidRPr="001F332C" w:rsidRDefault="00921F46"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p>
        </w:tc>
        <w:tc>
          <w:tcPr>
            <w:tcW w:w="1446" w:type="dxa"/>
          </w:tcPr>
          <w:p w14:paraId="18CDE7A2" w14:textId="4FC6F46F" w:rsidR="00921F46" w:rsidRPr="001F332C" w:rsidRDefault="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w:t>
            </w:r>
            <w:r w:rsidR="00F46FDD" w:rsidRPr="001F332C">
              <w:rPr>
                <w:rFonts w:ascii="Arial" w:eastAsia="Calibri" w:hAnsi="Arial" w:cs="Arial"/>
                <w:color w:val="000000"/>
                <w:sz w:val="24"/>
                <w:szCs w:val="24"/>
              </w:rPr>
              <w:t>54,148p</w:t>
            </w:r>
            <w:r w:rsidRPr="001F332C">
              <w:rPr>
                <w:rFonts w:ascii="Arial" w:eastAsia="Calibri" w:hAnsi="Arial" w:cs="Arial"/>
                <w:color w:val="000000"/>
                <w:sz w:val="24"/>
                <w:szCs w:val="24"/>
              </w:rPr>
              <w:t>.a.</w:t>
            </w:r>
          </w:p>
        </w:tc>
      </w:tr>
      <w:tr w:rsidR="00921F46" w:rsidRPr="00C14F50" w14:paraId="1D60CB2B" w14:textId="77777777" w:rsidTr="0092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DDBF687" w14:textId="25A09A45" w:rsidR="00921F46" w:rsidRPr="001F332C" w:rsidRDefault="00F46FDD">
            <w:pPr>
              <w:autoSpaceDE w:val="0"/>
              <w:autoSpaceDN w:val="0"/>
              <w:adjustRightInd w:val="0"/>
              <w:spacing w:before="40" w:after="40"/>
              <w:jc w:val="both"/>
              <w:rPr>
                <w:rFonts w:ascii="Arial" w:eastAsia="Calibri" w:hAnsi="Arial" w:cs="Arial"/>
                <w:color w:val="000000"/>
                <w:sz w:val="24"/>
                <w:szCs w:val="24"/>
              </w:rPr>
            </w:pPr>
            <w:r w:rsidRPr="001F332C">
              <w:rPr>
                <w:rFonts w:ascii="Arial" w:eastAsia="Calibri" w:hAnsi="Arial" w:cs="Arial"/>
                <w:color w:val="000000"/>
                <w:sz w:val="24"/>
                <w:szCs w:val="24"/>
              </w:rPr>
              <w:t xml:space="preserve">HMRC </w:t>
            </w:r>
            <w:r w:rsidR="00921F46" w:rsidRPr="001F332C">
              <w:rPr>
                <w:rFonts w:ascii="Arial" w:eastAsia="Calibri" w:hAnsi="Arial" w:cs="Arial"/>
                <w:color w:val="000000"/>
                <w:sz w:val="24"/>
                <w:szCs w:val="24"/>
              </w:rPr>
              <w:t xml:space="preserve">Lump Sum maximum (25% of </w:t>
            </w:r>
            <w:r w:rsidRPr="001F332C">
              <w:rPr>
                <w:rFonts w:ascii="Arial" w:eastAsia="Calibri" w:hAnsi="Arial" w:cs="Arial"/>
                <w:color w:val="000000"/>
                <w:sz w:val="24"/>
                <w:szCs w:val="24"/>
              </w:rPr>
              <w:t>protected LTA</w:t>
            </w:r>
            <w:r w:rsidR="00921F46" w:rsidRPr="001F332C">
              <w:rPr>
                <w:rFonts w:ascii="Arial" w:eastAsia="Calibri" w:hAnsi="Arial" w:cs="Arial"/>
                <w:color w:val="000000"/>
                <w:sz w:val="24"/>
                <w:szCs w:val="24"/>
              </w:rPr>
              <w:t>)</w:t>
            </w:r>
          </w:p>
        </w:tc>
        <w:tc>
          <w:tcPr>
            <w:tcW w:w="2693" w:type="dxa"/>
          </w:tcPr>
          <w:p w14:paraId="0A8D7A87" w14:textId="77777777" w:rsidR="00921F46" w:rsidRPr="001F332C" w:rsidRDefault="00921F46" w:rsidP="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p>
        </w:tc>
        <w:tc>
          <w:tcPr>
            <w:tcW w:w="1446" w:type="dxa"/>
          </w:tcPr>
          <w:p w14:paraId="70A24C94" w14:textId="6512B0B3" w:rsidR="00921F46" w:rsidRPr="001F332C" w:rsidRDefault="00921F46">
            <w:pPr>
              <w:autoSpaceDE w:val="0"/>
              <w:autoSpaceDN w:val="0"/>
              <w:adjustRightInd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rPr>
            </w:pPr>
            <w:r w:rsidRPr="001F332C">
              <w:rPr>
                <w:rFonts w:ascii="Arial" w:eastAsia="Calibri" w:hAnsi="Arial" w:cs="Arial"/>
                <w:color w:val="000000"/>
                <w:sz w:val="24"/>
                <w:szCs w:val="24"/>
              </w:rPr>
              <w:t>£</w:t>
            </w:r>
            <w:r w:rsidR="00F46FDD" w:rsidRPr="001F332C">
              <w:rPr>
                <w:rFonts w:ascii="Arial" w:eastAsia="Calibri" w:hAnsi="Arial" w:cs="Arial"/>
                <w:color w:val="000000"/>
                <w:sz w:val="24"/>
                <w:szCs w:val="24"/>
              </w:rPr>
              <w:t>274,165</w:t>
            </w:r>
          </w:p>
        </w:tc>
      </w:tr>
      <w:tr w:rsidR="00921F46" w:rsidRPr="00C14F50" w14:paraId="414E5A94" w14:textId="77777777" w:rsidTr="00921F46">
        <w:tc>
          <w:tcPr>
            <w:cnfStyle w:val="001000000000" w:firstRow="0" w:lastRow="0" w:firstColumn="1" w:lastColumn="0" w:oddVBand="0" w:evenVBand="0" w:oddHBand="0" w:evenHBand="0" w:firstRowFirstColumn="0" w:firstRowLastColumn="0" w:lastRowFirstColumn="0" w:lastRowLastColumn="0"/>
            <w:tcW w:w="7621" w:type="dxa"/>
            <w:gridSpan w:val="2"/>
          </w:tcPr>
          <w:p w14:paraId="255EFEC6" w14:textId="77777777" w:rsidR="00921F46" w:rsidRPr="001F332C" w:rsidRDefault="00921F46" w:rsidP="00921F46">
            <w:pPr>
              <w:autoSpaceDE w:val="0"/>
              <w:autoSpaceDN w:val="0"/>
              <w:adjustRightInd w:val="0"/>
              <w:spacing w:before="40" w:after="40"/>
              <w:jc w:val="both"/>
              <w:rPr>
                <w:rFonts w:ascii="Arial" w:eastAsia="Calibri" w:hAnsi="Arial" w:cs="Arial"/>
                <w:sz w:val="24"/>
                <w:szCs w:val="24"/>
              </w:rPr>
            </w:pPr>
            <w:r w:rsidRPr="001F332C">
              <w:rPr>
                <w:rFonts w:ascii="Arial" w:eastAsia="Calibri" w:hAnsi="Arial" w:cs="Arial"/>
                <w:sz w:val="24"/>
                <w:szCs w:val="24"/>
              </w:rPr>
              <w:t>Lifetime Allowance capital value of commuted pension benefits</w:t>
            </w:r>
          </w:p>
        </w:tc>
        <w:tc>
          <w:tcPr>
            <w:tcW w:w="1446" w:type="dxa"/>
          </w:tcPr>
          <w:p w14:paraId="4860B6B7" w14:textId="2B3C57EB" w:rsidR="00921F46" w:rsidRPr="001F332C" w:rsidRDefault="00F46FDD" w:rsidP="00921F46">
            <w:pPr>
              <w:autoSpaceDE w:val="0"/>
              <w:autoSpaceDN w:val="0"/>
              <w:adjustRightInd w:val="0"/>
              <w:spacing w:before="40" w:after="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r w:rsidRPr="001F332C">
              <w:rPr>
                <w:rFonts w:ascii="Arial" w:eastAsia="Calibri" w:hAnsi="Arial" w:cs="Arial"/>
                <w:b/>
                <w:sz w:val="24"/>
                <w:szCs w:val="24"/>
              </w:rPr>
              <w:t>£1,357,125</w:t>
            </w:r>
          </w:p>
        </w:tc>
      </w:tr>
    </w:tbl>
    <w:p w14:paraId="0A37454D" w14:textId="77777777" w:rsidR="00921F46" w:rsidRPr="001F332C" w:rsidRDefault="00921F46" w:rsidP="002F0430">
      <w:pPr>
        <w:autoSpaceDE w:val="0"/>
        <w:autoSpaceDN w:val="0"/>
        <w:adjustRightInd w:val="0"/>
        <w:spacing w:after="0" w:line="240" w:lineRule="auto"/>
        <w:jc w:val="both"/>
        <w:rPr>
          <w:rFonts w:ascii="Arial" w:eastAsia="Calibri" w:hAnsi="Arial" w:cs="Arial"/>
          <w:bCs/>
          <w:sz w:val="24"/>
          <w:szCs w:val="24"/>
        </w:rPr>
      </w:pPr>
    </w:p>
    <w:p w14:paraId="0125F969" w14:textId="2110F242" w:rsidR="00F46FDD" w:rsidRPr="001F332C" w:rsidRDefault="00F46FDD" w:rsidP="00F46FDD">
      <w:pPr>
        <w:autoSpaceDE w:val="0"/>
        <w:autoSpaceDN w:val="0"/>
        <w:adjustRightInd w:val="0"/>
        <w:spacing w:after="0" w:line="240" w:lineRule="auto"/>
        <w:jc w:val="both"/>
        <w:rPr>
          <w:rFonts w:ascii="Arial" w:eastAsia="Calibri" w:hAnsi="Arial" w:cs="Arial"/>
          <w:sz w:val="24"/>
          <w:szCs w:val="24"/>
        </w:rPr>
      </w:pPr>
      <w:r w:rsidRPr="001F332C">
        <w:rPr>
          <w:rFonts w:ascii="Arial" w:eastAsia="Calibri" w:hAnsi="Arial" w:cs="Arial"/>
          <w:sz w:val="24"/>
          <w:szCs w:val="24"/>
        </w:rPr>
        <w:t>The capital value of Sunil’s benefits with IP2016 and reducing his lump sum to the maximum allowed by HMRC would be £1,357,125 (£54,148 x 20 plus £274,165). As this is £260,465 above his protected LTA a Lifetime Allowance tax charge would be due on this amount.</w:t>
      </w:r>
    </w:p>
    <w:p w14:paraId="1B41B9C7" w14:textId="77777777" w:rsidR="002F0430" w:rsidRPr="001F332C" w:rsidRDefault="002F0430" w:rsidP="002F0430">
      <w:pPr>
        <w:autoSpaceDE w:val="0"/>
        <w:autoSpaceDN w:val="0"/>
        <w:adjustRightInd w:val="0"/>
        <w:spacing w:after="0" w:line="240" w:lineRule="auto"/>
        <w:jc w:val="both"/>
        <w:rPr>
          <w:rFonts w:ascii="Arial" w:eastAsia="Calibri" w:hAnsi="Arial" w:cs="Arial"/>
          <w:bCs/>
          <w:sz w:val="24"/>
          <w:szCs w:val="24"/>
        </w:rPr>
      </w:pPr>
    </w:p>
    <w:p w14:paraId="0C5AE7FC" w14:textId="1BE2CA75" w:rsidR="00921F46" w:rsidRPr="001F332C" w:rsidRDefault="00921F46" w:rsidP="00921F46">
      <w:pPr>
        <w:pStyle w:val="Default"/>
        <w:jc w:val="both"/>
        <w:rPr>
          <w:bCs/>
        </w:rPr>
      </w:pPr>
      <w:r w:rsidRPr="001F332C">
        <w:rPr>
          <w:bCs/>
        </w:rPr>
        <w:t>By applying for IP2016 and reducing his lump sum to the maximum allowed</w:t>
      </w:r>
      <w:r w:rsidR="00F46FDD" w:rsidRPr="001F332C">
        <w:rPr>
          <w:bCs/>
        </w:rPr>
        <w:t>, Sunil</w:t>
      </w:r>
      <w:r w:rsidRPr="001F332C">
        <w:rPr>
          <w:bCs/>
        </w:rPr>
        <w:t xml:space="preserve"> has saved tax on nearly £</w:t>
      </w:r>
      <w:r w:rsidR="00680072">
        <w:rPr>
          <w:bCs/>
        </w:rPr>
        <w:t>3</w:t>
      </w:r>
      <w:r w:rsidRPr="001F332C">
        <w:rPr>
          <w:bCs/>
        </w:rPr>
        <w:t>0,000.</w:t>
      </w:r>
    </w:p>
    <w:p w14:paraId="7543C69D" w14:textId="77777777" w:rsidR="00921F46" w:rsidRPr="001F332C" w:rsidRDefault="00921F46" w:rsidP="00F2742E">
      <w:pPr>
        <w:pStyle w:val="Default"/>
        <w:jc w:val="both"/>
        <w:rPr>
          <w:bCs/>
        </w:rPr>
      </w:pPr>
    </w:p>
    <w:sectPr w:rsidR="00921F46" w:rsidRPr="001F332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91704" w14:textId="77777777" w:rsidR="00E2598E" w:rsidRDefault="00E2598E" w:rsidP="009C0340">
      <w:pPr>
        <w:spacing w:after="0" w:line="240" w:lineRule="auto"/>
      </w:pPr>
      <w:r>
        <w:separator/>
      </w:r>
    </w:p>
  </w:endnote>
  <w:endnote w:type="continuationSeparator" w:id="0">
    <w:p w14:paraId="454EFDDD" w14:textId="77777777" w:rsidR="00E2598E" w:rsidRDefault="00E2598E" w:rsidP="009C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326413"/>
      <w:docPartObj>
        <w:docPartGallery w:val="Page Numbers (Bottom of Page)"/>
        <w:docPartUnique/>
      </w:docPartObj>
    </w:sdtPr>
    <w:sdtEndPr>
      <w:rPr>
        <w:noProof/>
      </w:rPr>
    </w:sdtEndPr>
    <w:sdtContent>
      <w:p w14:paraId="2A7A9C76" w14:textId="68A52598" w:rsidR="00921F46" w:rsidRDefault="00921F46">
        <w:pPr>
          <w:pStyle w:val="Footer"/>
          <w:jc w:val="right"/>
        </w:pPr>
        <w:r>
          <w:fldChar w:fldCharType="begin"/>
        </w:r>
        <w:r>
          <w:instrText xml:space="preserve"> PAGE   \* MERGEFORMAT </w:instrText>
        </w:r>
        <w:r>
          <w:fldChar w:fldCharType="separate"/>
        </w:r>
        <w:r w:rsidR="002112FF">
          <w:rPr>
            <w:noProof/>
          </w:rPr>
          <w:t>10</w:t>
        </w:r>
        <w:r>
          <w:rPr>
            <w:noProof/>
          </w:rPr>
          <w:fldChar w:fldCharType="end"/>
        </w:r>
      </w:p>
    </w:sdtContent>
  </w:sdt>
  <w:p w14:paraId="7C86B913" w14:textId="0E09AC3B" w:rsidR="00921F46" w:rsidRDefault="001E2ADD" w:rsidP="001E2ADD">
    <w:pPr>
      <w:pStyle w:val="Footer"/>
    </w:pPr>
    <w:r>
      <w:t xml:space="preserve">Lifetime allowance member factsheet </w:t>
    </w:r>
    <w:r w:rsidR="00A643BD">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13CB4" w14:textId="77777777" w:rsidR="00E2598E" w:rsidRDefault="00E2598E" w:rsidP="009C0340">
      <w:pPr>
        <w:spacing w:after="0" w:line="240" w:lineRule="auto"/>
      </w:pPr>
      <w:r>
        <w:separator/>
      </w:r>
    </w:p>
  </w:footnote>
  <w:footnote w:type="continuationSeparator" w:id="0">
    <w:p w14:paraId="18EA75A0" w14:textId="77777777" w:rsidR="00E2598E" w:rsidRDefault="00E2598E" w:rsidP="009C0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ED4"/>
    <w:multiLevelType w:val="hybridMultilevel"/>
    <w:tmpl w:val="AEA688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140059"/>
    <w:multiLevelType w:val="hybridMultilevel"/>
    <w:tmpl w:val="00A4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8506F"/>
    <w:multiLevelType w:val="hybridMultilevel"/>
    <w:tmpl w:val="0B6E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D6281"/>
    <w:multiLevelType w:val="hybridMultilevel"/>
    <w:tmpl w:val="6388E8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B84C0B"/>
    <w:multiLevelType w:val="hybridMultilevel"/>
    <w:tmpl w:val="69BA8F1E"/>
    <w:lvl w:ilvl="0" w:tplc="C94C26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BB6EC9"/>
    <w:multiLevelType w:val="hybridMultilevel"/>
    <w:tmpl w:val="E9947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434C5E"/>
    <w:multiLevelType w:val="multilevel"/>
    <w:tmpl w:val="D58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41FA7"/>
    <w:multiLevelType w:val="hybridMultilevel"/>
    <w:tmpl w:val="0D5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D7257"/>
    <w:multiLevelType w:val="hybridMultilevel"/>
    <w:tmpl w:val="84146522"/>
    <w:lvl w:ilvl="0" w:tplc="08090011">
      <w:start w:val="1"/>
      <w:numFmt w:val="decimal"/>
      <w:lvlText w:val="%1)"/>
      <w:lvlJc w:val="left"/>
      <w:pPr>
        <w:ind w:left="720" w:hanging="360"/>
      </w:pPr>
    </w:lvl>
    <w:lvl w:ilvl="1" w:tplc="CFFA33D8">
      <w:start w:val="1"/>
      <w:numFmt w:val="lowerLetter"/>
      <w:lvlText w:val="%2."/>
      <w:lvlJc w:val="left"/>
      <w:pPr>
        <w:ind w:left="1440" w:hanging="360"/>
      </w:pPr>
      <w:rPr>
        <w:rFonts w:ascii="Arial"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D73E4"/>
    <w:multiLevelType w:val="hybridMultilevel"/>
    <w:tmpl w:val="6012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125"/>
    <w:multiLevelType w:val="hybridMultilevel"/>
    <w:tmpl w:val="299CBC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91502F2"/>
    <w:multiLevelType w:val="hybridMultilevel"/>
    <w:tmpl w:val="396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27E64"/>
    <w:multiLevelType w:val="hybridMultilevel"/>
    <w:tmpl w:val="22D8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8517A"/>
    <w:multiLevelType w:val="hybridMultilevel"/>
    <w:tmpl w:val="E2BA8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4E6B13"/>
    <w:multiLevelType w:val="hybridMultilevel"/>
    <w:tmpl w:val="712C0EDA"/>
    <w:lvl w:ilvl="0" w:tplc="061476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6618FD"/>
    <w:multiLevelType w:val="hybridMultilevel"/>
    <w:tmpl w:val="BA64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B3CF3"/>
    <w:multiLevelType w:val="hybridMultilevel"/>
    <w:tmpl w:val="F2C0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F52B2"/>
    <w:multiLevelType w:val="hybridMultilevel"/>
    <w:tmpl w:val="9B10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F3F0B"/>
    <w:multiLevelType w:val="hybridMultilevel"/>
    <w:tmpl w:val="A9C8DC42"/>
    <w:lvl w:ilvl="0" w:tplc="5A0047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90262"/>
    <w:multiLevelType w:val="hybridMultilevel"/>
    <w:tmpl w:val="E6947CAE"/>
    <w:lvl w:ilvl="0" w:tplc="C396C2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06211"/>
    <w:multiLevelType w:val="hybridMultilevel"/>
    <w:tmpl w:val="B64AAB2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225054E"/>
    <w:multiLevelType w:val="hybridMultilevel"/>
    <w:tmpl w:val="4EEE85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78F3AE0"/>
    <w:multiLevelType w:val="hybridMultilevel"/>
    <w:tmpl w:val="D598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61A27"/>
    <w:multiLevelType w:val="multilevel"/>
    <w:tmpl w:val="157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577B2"/>
    <w:multiLevelType w:val="hybridMultilevel"/>
    <w:tmpl w:val="12A830D8"/>
    <w:lvl w:ilvl="0" w:tplc="50BA5B3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B44EBE"/>
    <w:multiLevelType w:val="multilevel"/>
    <w:tmpl w:val="0B5A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4D1815"/>
    <w:multiLevelType w:val="hybridMultilevel"/>
    <w:tmpl w:val="3F36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315AA"/>
    <w:multiLevelType w:val="hybridMultilevel"/>
    <w:tmpl w:val="87A43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F3A2A7D"/>
    <w:multiLevelType w:val="hybridMultilevel"/>
    <w:tmpl w:val="434C378A"/>
    <w:lvl w:ilvl="0" w:tplc="35C673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85A85"/>
    <w:multiLevelType w:val="hybridMultilevel"/>
    <w:tmpl w:val="D214012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FA6511"/>
    <w:multiLevelType w:val="hybridMultilevel"/>
    <w:tmpl w:val="B962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E6EE3"/>
    <w:multiLevelType w:val="hybridMultilevel"/>
    <w:tmpl w:val="798C5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03B71"/>
    <w:multiLevelType w:val="hybridMultilevel"/>
    <w:tmpl w:val="B88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E4AC0"/>
    <w:multiLevelType w:val="hybridMultilevel"/>
    <w:tmpl w:val="FC10B1EA"/>
    <w:lvl w:ilvl="0" w:tplc="0686C056">
      <w:start w:val="1"/>
      <w:numFmt w:val="bullet"/>
      <w:lvlText w:val="−"/>
      <w:lvlJc w:val="left"/>
      <w:pPr>
        <w:tabs>
          <w:tab w:val="num" w:pos="720"/>
        </w:tabs>
        <w:ind w:left="720" w:hanging="360"/>
      </w:pPr>
      <w:rPr>
        <w:rFonts w:ascii="Verdana" w:hAnsi="Verdana" w:hint="default"/>
      </w:rPr>
    </w:lvl>
    <w:lvl w:ilvl="1" w:tplc="16DA02D2">
      <w:start w:val="33"/>
      <w:numFmt w:val="bullet"/>
      <w:lvlText w:val="•"/>
      <w:lvlJc w:val="left"/>
      <w:pPr>
        <w:tabs>
          <w:tab w:val="num" w:pos="1440"/>
        </w:tabs>
        <w:ind w:left="1440" w:hanging="360"/>
      </w:pPr>
      <w:rPr>
        <w:rFonts w:ascii="Arial" w:hAnsi="Arial" w:hint="default"/>
      </w:rPr>
    </w:lvl>
    <w:lvl w:ilvl="2" w:tplc="ACDAA7DE" w:tentative="1">
      <w:start w:val="1"/>
      <w:numFmt w:val="bullet"/>
      <w:lvlText w:val="−"/>
      <w:lvlJc w:val="left"/>
      <w:pPr>
        <w:tabs>
          <w:tab w:val="num" w:pos="2160"/>
        </w:tabs>
        <w:ind w:left="2160" w:hanging="360"/>
      </w:pPr>
      <w:rPr>
        <w:rFonts w:ascii="Verdana" w:hAnsi="Verdana" w:hint="default"/>
      </w:rPr>
    </w:lvl>
    <w:lvl w:ilvl="3" w:tplc="58A4F294" w:tentative="1">
      <w:start w:val="1"/>
      <w:numFmt w:val="bullet"/>
      <w:lvlText w:val="−"/>
      <w:lvlJc w:val="left"/>
      <w:pPr>
        <w:tabs>
          <w:tab w:val="num" w:pos="2880"/>
        </w:tabs>
        <w:ind w:left="2880" w:hanging="360"/>
      </w:pPr>
      <w:rPr>
        <w:rFonts w:ascii="Verdana" w:hAnsi="Verdana" w:hint="default"/>
      </w:rPr>
    </w:lvl>
    <w:lvl w:ilvl="4" w:tplc="CADAC386" w:tentative="1">
      <w:start w:val="1"/>
      <w:numFmt w:val="bullet"/>
      <w:lvlText w:val="−"/>
      <w:lvlJc w:val="left"/>
      <w:pPr>
        <w:tabs>
          <w:tab w:val="num" w:pos="3600"/>
        </w:tabs>
        <w:ind w:left="3600" w:hanging="360"/>
      </w:pPr>
      <w:rPr>
        <w:rFonts w:ascii="Verdana" w:hAnsi="Verdana" w:hint="default"/>
      </w:rPr>
    </w:lvl>
    <w:lvl w:ilvl="5" w:tplc="821863BC" w:tentative="1">
      <w:start w:val="1"/>
      <w:numFmt w:val="bullet"/>
      <w:lvlText w:val="−"/>
      <w:lvlJc w:val="left"/>
      <w:pPr>
        <w:tabs>
          <w:tab w:val="num" w:pos="4320"/>
        </w:tabs>
        <w:ind w:left="4320" w:hanging="360"/>
      </w:pPr>
      <w:rPr>
        <w:rFonts w:ascii="Verdana" w:hAnsi="Verdana" w:hint="default"/>
      </w:rPr>
    </w:lvl>
    <w:lvl w:ilvl="6" w:tplc="8924CA24" w:tentative="1">
      <w:start w:val="1"/>
      <w:numFmt w:val="bullet"/>
      <w:lvlText w:val="−"/>
      <w:lvlJc w:val="left"/>
      <w:pPr>
        <w:tabs>
          <w:tab w:val="num" w:pos="5040"/>
        </w:tabs>
        <w:ind w:left="5040" w:hanging="360"/>
      </w:pPr>
      <w:rPr>
        <w:rFonts w:ascii="Verdana" w:hAnsi="Verdana" w:hint="default"/>
      </w:rPr>
    </w:lvl>
    <w:lvl w:ilvl="7" w:tplc="73D67034" w:tentative="1">
      <w:start w:val="1"/>
      <w:numFmt w:val="bullet"/>
      <w:lvlText w:val="−"/>
      <w:lvlJc w:val="left"/>
      <w:pPr>
        <w:tabs>
          <w:tab w:val="num" w:pos="5760"/>
        </w:tabs>
        <w:ind w:left="5760" w:hanging="360"/>
      </w:pPr>
      <w:rPr>
        <w:rFonts w:ascii="Verdana" w:hAnsi="Verdana" w:hint="default"/>
      </w:rPr>
    </w:lvl>
    <w:lvl w:ilvl="8" w:tplc="E162E952" w:tentative="1">
      <w:start w:val="1"/>
      <w:numFmt w:val="bullet"/>
      <w:lvlText w:val="−"/>
      <w:lvlJc w:val="left"/>
      <w:pPr>
        <w:tabs>
          <w:tab w:val="num" w:pos="6480"/>
        </w:tabs>
        <w:ind w:left="6480" w:hanging="360"/>
      </w:pPr>
      <w:rPr>
        <w:rFonts w:ascii="Verdana" w:hAnsi="Verdana" w:hint="default"/>
      </w:rPr>
    </w:lvl>
  </w:abstractNum>
  <w:abstractNum w:abstractNumId="34" w15:restartNumberingAfterBreak="0">
    <w:nsid w:val="6C6400CE"/>
    <w:multiLevelType w:val="hybridMultilevel"/>
    <w:tmpl w:val="2EBAD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925DCD"/>
    <w:multiLevelType w:val="hybridMultilevel"/>
    <w:tmpl w:val="9AD458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E6436F"/>
    <w:multiLevelType w:val="hybridMultilevel"/>
    <w:tmpl w:val="72F8FF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40D6BFF"/>
    <w:multiLevelType w:val="hybridMultilevel"/>
    <w:tmpl w:val="EE2E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23BF5"/>
    <w:multiLevelType w:val="hybridMultilevel"/>
    <w:tmpl w:val="D01EC0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217DE3"/>
    <w:multiLevelType w:val="hybridMultilevel"/>
    <w:tmpl w:val="D1D8FECE"/>
    <w:lvl w:ilvl="0" w:tplc="DEB4247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87BCD"/>
    <w:multiLevelType w:val="hybridMultilevel"/>
    <w:tmpl w:val="7DF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B583D"/>
    <w:multiLevelType w:val="hybridMultilevel"/>
    <w:tmpl w:val="B3F2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428B"/>
    <w:multiLevelType w:val="hybridMultilevel"/>
    <w:tmpl w:val="3E3E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21"/>
  </w:num>
  <w:num w:numId="4">
    <w:abstractNumId w:val="38"/>
  </w:num>
  <w:num w:numId="5">
    <w:abstractNumId w:val="3"/>
  </w:num>
  <w:num w:numId="6">
    <w:abstractNumId w:val="26"/>
  </w:num>
  <w:num w:numId="7">
    <w:abstractNumId w:val="36"/>
  </w:num>
  <w:num w:numId="8">
    <w:abstractNumId w:val="29"/>
  </w:num>
  <w:num w:numId="9">
    <w:abstractNumId w:val="13"/>
  </w:num>
  <w:num w:numId="10">
    <w:abstractNumId w:val="5"/>
  </w:num>
  <w:num w:numId="11">
    <w:abstractNumId w:val="19"/>
  </w:num>
  <w:num w:numId="12">
    <w:abstractNumId w:val="18"/>
  </w:num>
  <w:num w:numId="13">
    <w:abstractNumId w:val="15"/>
  </w:num>
  <w:num w:numId="14">
    <w:abstractNumId w:val="8"/>
  </w:num>
  <w:num w:numId="15">
    <w:abstractNumId w:val="28"/>
  </w:num>
  <w:num w:numId="16">
    <w:abstractNumId w:val="20"/>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9"/>
  </w:num>
  <w:num w:numId="22">
    <w:abstractNumId w:val="30"/>
  </w:num>
  <w:num w:numId="23">
    <w:abstractNumId w:val="27"/>
  </w:num>
  <w:num w:numId="24">
    <w:abstractNumId w:val="16"/>
  </w:num>
  <w:num w:numId="25">
    <w:abstractNumId w:val="1"/>
  </w:num>
  <w:num w:numId="26">
    <w:abstractNumId w:val="0"/>
  </w:num>
  <w:num w:numId="27">
    <w:abstractNumId w:val="40"/>
  </w:num>
  <w:num w:numId="28">
    <w:abstractNumId w:val="42"/>
  </w:num>
  <w:num w:numId="29">
    <w:abstractNumId w:val="41"/>
  </w:num>
  <w:num w:numId="30">
    <w:abstractNumId w:val="14"/>
  </w:num>
  <w:num w:numId="31">
    <w:abstractNumId w:val="32"/>
  </w:num>
  <w:num w:numId="32">
    <w:abstractNumId w:val="33"/>
  </w:num>
  <w:num w:numId="33">
    <w:abstractNumId w:val="23"/>
  </w:num>
  <w:num w:numId="34">
    <w:abstractNumId w:val="25"/>
  </w:num>
  <w:num w:numId="35">
    <w:abstractNumId w:val="39"/>
  </w:num>
  <w:num w:numId="36">
    <w:abstractNumId w:val="6"/>
  </w:num>
  <w:num w:numId="37">
    <w:abstractNumId w:val="22"/>
  </w:num>
  <w:num w:numId="38">
    <w:abstractNumId w:val="11"/>
  </w:num>
  <w:num w:numId="39">
    <w:abstractNumId w:val="7"/>
  </w:num>
  <w:num w:numId="40">
    <w:abstractNumId w:val="17"/>
  </w:num>
  <w:num w:numId="41">
    <w:abstractNumId w:val="12"/>
  </w:num>
  <w:num w:numId="42">
    <w:abstractNumId w:val="31"/>
  </w:num>
  <w:num w:numId="43">
    <w:abstractNumId w:val="24"/>
  </w:num>
  <w:num w:numId="44">
    <w:abstractNumId w:val="3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4D"/>
    <w:rsid w:val="000105BE"/>
    <w:rsid w:val="0001270F"/>
    <w:rsid w:val="00030C07"/>
    <w:rsid w:val="00031890"/>
    <w:rsid w:val="00034ABC"/>
    <w:rsid w:val="0004144D"/>
    <w:rsid w:val="00047113"/>
    <w:rsid w:val="00047CAA"/>
    <w:rsid w:val="000566B9"/>
    <w:rsid w:val="00063680"/>
    <w:rsid w:val="000824D9"/>
    <w:rsid w:val="000854D4"/>
    <w:rsid w:val="000A1DE2"/>
    <w:rsid w:val="000A4CF1"/>
    <w:rsid w:val="000A4F17"/>
    <w:rsid w:val="000B1F27"/>
    <w:rsid w:val="000B762A"/>
    <w:rsid w:val="000D358B"/>
    <w:rsid w:val="000D4C12"/>
    <w:rsid w:val="000E36F7"/>
    <w:rsid w:val="000E4153"/>
    <w:rsid w:val="000E7E4B"/>
    <w:rsid w:val="000F18DB"/>
    <w:rsid w:val="000F26F5"/>
    <w:rsid w:val="000F618E"/>
    <w:rsid w:val="001361BC"/>
    <w:rsid w:val="001370F8"/>
    <w:rsid w:val="00143CAA"/>
    <w:rsid w:val="0018031A"/>
    <w:rsid w:val="00186B38"/>
    <w:rsid w:val="0018798D"/>
    <w:rsid w:val="001A006E"/>
    <w:rsid w:val="001A06B5"/>
    <w:rsid w:val="001B226A"/>
    <w:rsid w:val="001C18B5"/>
    <w:rsid w:val="001C6E62"/>
    <w:rsid w:val="001D25D6"/>
    <w:rsid w:val="001E2ADD"/>
    <w:rsid w:val="001F0ED0"/>
    <w:rsid w:val="001F332C"/>
    <w:rsid w:val="00202D6B"/>
    <w:rsid w:val="002076B2"/>
    <w:rsid w:val="002112FF"/>
    <w:rsid w:val="00216389"/>
    <w:rsid w:val="00216CD5"/>
    <w:rsid w:val="00217A80"/>
    <w:rsid w:val="002224BF"/>
    <w:rsid w:val="00246785"/>
    <w:rsid w:val="00247B9B"/>
    <w:rsid w:val="002605EE"/>
    <w:rsid w:val="00270F59"/>
    <w:rsid w:val="0027235E"/>
    <w:rsid w:val="00296F88"/>
    <w:rsid w:val="002B5B25"/>
    <w:rsid w:val="002C1E64"/>
    <w:rsid w:val="002C78A5"/>
    <w:rsid w:val="002E2677"/>
    <w:rsid w:val="002E483E"/>
    <w:rsid w:val="002F01AC"/>
    <w:rsid w:val="002F0430"/>
    <w:rsid w:val="002F62D9"/>
    <w:rsid w:val="00312FFF"/>
    <w:rsid w:val="00335B61"/>
    <w:rsid w:val="00361633"/>
    <w:rsid w:val="00365D5B"/>
    <w:rsid w:val="003756FD"/>
    <w:rsid w:val="00380BAE"/>
    <w:rsid w:val="00384CAD"/>
    <w:rsid w:val="003876D3"/>
    <w:rsid w:val="00394054"/>
    <w:rsid w:val="00394944"/>
    <w:rsid w:val="003B6BE5"/>
    <w:rsid w:val="003C6FEE"/>
    <w:rsid w:val="003D3B6D"/>
    <w:rsid w:val="003E0B1D"/>
    <w:rsid w:val="003E3264"/>
    <w:rsid w:val="003F4780"/>
    <w:rsid w:val="003F6289"/>
    <w:rsid w:val="003F7514"/>
    <w:rsid w:val="00400746"/>
    <w:rsid w:val="00401813"/>
    <w:rsid w:val="00404CA5"/>
    <w:rsid w:val="0041329F"/>
    <w:rsid w:val="00413A3D"/>
    <w:rsid w:val="00416B17"/>
    <w:rsid w:val="00434F25"/>
    <w:rsid w:val="004634CA"/>
    <w:rsid w:val="0047635B"/>
    <w:rsid w:val="00482BFF"/>
    <w:rsid w:val="004847E8"/>
    <w:rsid w:val="0049140A"/>
    <w:rsid w:val="00494B77"/>
    <w:rsid w:val="00494C83"/>
    <w:rsid w:val="004A008E"/>
    <w:rsid w:val="004B716A"/>
    <w:rsid w:val="004C53DB"/>
    <w:rsid w:val="004C5BD6"/>
    <w:rsid w:val="004E3975"/>
    <w:rsid w:val="004E6E2B"/>
    <w:rsid w:val="004F37C6"/>
    <w:rsid w:val="00500958"/>
    <w:rsid w:val="0052235D"/>
    <w:rsid w:val="00523F91"/>
    <w:rsid w:val="00551A1B"/>
    <w:rsid w:val="00561F8D"/>
    <w:rsid w:val="0057530E"/>
    <w:rsid w:val="00582233"/>
    <w:rsid w:val="005A44B5"/>
    <w:rsid w:val="005A7669"/>
    <w:rsid w:val="005C201E"/>
    <w:rsid w:val="005D17F0"/>
    <w:rsid w:val="005E0E3C"/>
    <w:rsid w:val="005F24D5"/>
    <w:rsid w:val="005F302D"/>
    <w:rsid w:val="006109FE"/>
    <w:rsid w:val="0061528E"/>
    <w:rsid w:val="00630C9E"/>
    <w:rsid w:val="00632F4B"/>
    <w:rsid w:val="006460F8"/>
    <w:rsid w:val="00663E4D"/>
    <w:rsid w:val="00667F17"/>
    <w:rsid w:val="006700D5"/>
    <w:rsid w:val="0067349E"/>
    <w:rsid w:val="00680072"/>
    <w:rsid w:val="00682DE4"/>
    <w:rsid w:val="00695512"/>
    <w:rsid w:val="006974EC"/>
    <w:rsid w:val="006A729A"/>
    <w:rsid w:val="006D146F"/>
    <w:rsid w:val="006D3E2A"/>
    <w:rsid w:val="006E2FC7"/>
    <w:rsid w:val="006E445C"/>
    <w:rsid w:val="00704075"/>
    <w:rsid w:val="00711D7D"/>
    <w:rsid w:val="00741265"/>
    <w:rsid w:val="00750988"/>
    <w:rsid w:val="00753B9D"/>
    <w:rsid w:val="007550C3"/>
    <w:rsid w:val="00760B63"/>
    <w:rsid w:val="00764218"/>
    <w:rsid w:val="007704F9"/>
    <w:rsid w:val="00794209"/>
    <w:rsid w:val="00796710"/>
    <w:rsid w:val="007A1F1D"/>
    <w:rsid w:val="007A6083"/>
    <w:rsid w:val="007D09FE"/>
    <w:rsid w:val="007D3259"/>
    <w:rsid w:val="007D3AA3"/>
    <w:rsid w:val="007E0A48"/>
    <w:rsid w:val="007E2E81"/>
    <w:rsid w:val="007E6E9A"/>
    <w:rsid w:val="007F38C5"/>
    <w:rsid w:val="007F723F"/>
    <w:rsid w:val="007F7336"/>
    <w:rsid w:val="00801E56"/>
    <w:rsid w:val="00803BEE"/>
    <w:rsid w:val="008119AD"/>
    <w:rsid w:val="00817033"/>
    <w:rsid w:val="00820635"/>
    <w:rsid w:val="00853E0A"/>
    <w:rsid w:val="00856742"/>
    <w:rsid w:val="0087793C"/>
    <w:rsid w:val="00886753"/>
    <w:rsid w:val="0089274F"/>
    <w:rsid w:val="00894510"/>
    <w:rsid w:val="008971E7"/>
    <w:rsid w:val="008A36A5"/>
    <w:rsid w:val="008A4BA6"/>
    <w:rsid w:val="008C7AEA"/>
    <w:rsid w:val="008D2645"/>
    <w:rsid w:val="008D5740"/>
    <w:rsid w:val="008E4103"/>
    <w:rsid w:val="008F1F17"/>
    <w:rsid w:val="008F57CD"/>
    <w:rsid w:val="0091128D"/>
    <w:rsid w:val="0091634A"/>
    <w:rsid w:val="00921F46"/>
    <w:rsid w:val="00922BDF"/>
    <w:rsid w:val="009273D5"/>
    <w:rsid w:val="009302FE"/>
    <w:rsid w:val="00935961"/>
    <w:rsid w:val="009373AB"/>
    <w:rsid w:val="00962522"/>
    <w:rsid w:val="00963577"/>
    <w:rsid w:val="00971DCD"/>
    <w:rsid w:val="00974D85"/>
    <w:rsid w:val="00980451"/>
    <w:rsid w:val="00985F89"/>
    <w:rsid w:val="00993095"/>
    <w:rsid w:val="00997923"/>
    <w:rsid w:val="009A5820"/>
    <w:rsid w:val="009B3428"/>
    <w:rsid w:val="009C0340"/>
    <w:rsid w:val="009C3708"/>
    <w:rsid w:val="009E3629"/>
    <w:rsid w:val="009E6655"/>
    <w:rsid w:val="009F14B6"/>
    <w:rsid w:val="009F1FCD"/>
    <w:rsid w:val="00A0246E"/>
    <w:rsid w:val="00A05462"/>
    <w:rsid w:val="00A10025"/>
    <w:rsid w:val="00A210F4"/>
    <w:rsid w:val="00A2484F"/>
    <w:rsid w:val="00A40C70"/>
    <w:rsid w:val="00A4606E"/>
    <w:rsid w:val="00A47C23"/>
    <w:rsid w:val="00A5269A"/>
    <w:rsid w:val="00A62680"/>
    <w:rsid w:val="00A634DC"/>
    <w:rsid w:val="00A643BD"/>
    <w:rsid w:val="00A65F77"/>
    <w:rsid w:val="00A67627"/>
    <w:rsid w:val="00A72508"/>
    <w:rsid w:val="00A8724B"/>
    <w:rsid w:val="00A87A71"/>
    <w:rsid w:val="00A96A0C"/>
    <w:rsid w:val="00AA54E4"/>
    <w:rsid w:val="00AC1467"/>
    <w:rsid w:val="00AC63E8"/>
    <w:rsid w:val="00AD0405"/>
    <w:rsid w:val="00AE0E48"/>
    <w:rsid w:val="00B10F44"/>
    <w:rsid w:val="00B2327D"/>
    <w:rsid w:val="00B26CAE"/>
    <w:rsid w:val="00B35A1A"/>
    <w:rsid w:val="00B54F83"/>
    <w:rsid w:val="00B66581"/>
    <w:rsid w:val="00B669C6"/>
    <w:rsid w:val="00B73892"/>
    <w:rsid w:val="00B80721"/>
    <w:rsid w:val="00B82FD4"/>
    <w:rsid w:val="00B860F0"/>
    <w:rsid w:val="00BA63E8"/>
    <w:rsid w:val="00BB3125"/>
    <w:rsid w:val="00BD0FCD"/>
    <w:rsid w:val="00BD50A7"/>
    <w:rsid w:val="00BD51A8"/>
    <w:rsid w:val="00BE291A"/>
    <w:rsid w:val="00BE4E8E"/>
    <w:rsid w:val="00C00B51"/>
    <w:rsid w:val="00C03510"/>
    <w:rsid w:val="00C11DEA"/>
    <w:rsid w:val="00C12D98"/>
    <w:rsid w:val="00C14F50"/>
    <w:rsid w:val="00C265C4"/>
    <w:rsid w:val="00C65F30"/>
    <w:rsid w:val="00C843CC"/>
    <w:rsid w:val="00C92D6B"/>
    <w:rsid w:val="00C93027"/>
    <w:rsid w:val="00C975F8"/>
    <w:rsid w:val="00CB2965"/>
    <w:rsid w:val="00CB4C31"/>
    <w:rsid w:val="00CD2E67"/>
    <w:rsid w:val="00CD4BD4"/>
    <w:rsid w:val="00CD615A"/>
    <w:rsid w:val="00CE057C"/>
    <w:rsid w:val="00CE734F"/>
    <w:rsid w:val="00CE7574"/>
    <w:rsid w:val="00CF052F"/>
    <w:rsid w:val="00D056FB"/>
    <w:rsid w:val="00D11106"/>
    <w:rsid w:val="00D1298C"/>
    <w:rsid w:val="00D21E5A"/>
    <w:rsid w:val="00D524C0"/>
    <w:rsid w:val="00D572E9"/>
    <w:rsid w:val="00D83D3F"/>
    <w:rsid w:val="00D85AD0"/>
    <w:rsid w:val="00D86AE3"/>
    <w:rsid w:val="00D91BCA"/>
    <w:rsid w:val="00D93F08"/>
    <w:rsid w:val="00D94139"/>
    <w:rsid w:val="00D95B1B"/>
    <w:rsid w:val="00D9743A"/>
    <w:rsid w:val="00DA69A6"/>
    <w:rsid w:val="00DB6347"/>
    <w:rsid w:val="00DD456A"/>
    <w:rsid w:val="00DD761A"/>
    <w:rsid w:val="00DE3DDF"/>
    <w:rsid w:val="00DE6E44"/>
    <w:rsid w:val="00DF478C"/>
    <w:rsid w:val="00DF60BC"/>
    <w:rsid w:val="00E24197"/>
    <w:rsid w:val="00E257B5"/>
    <w:rsid w:val="00E2598E"/>
    <w:rsid w:val="00E266FD"/>
    <w:rsid w:val="00E562E3"/>
    <w:rsid w:val="00E62860"/>
    <w:rsid w:val="00E67271"/>
    <w:rsid w:val="00E8172C"/>
    <w:rsid w:val="00E8506A"/>
    <w:rsid w:val="00E86F19"/>
    <w:rsid w:val="00E974D6"/>
    <w:rsid w:val="00EA0DDC"/>
    <w:rsid w:val="00EB4240"/>
    <w:rsid w:val="00EB47DA"/>
    <w:rsid w:val="00EB547D"/>
    <w:rsid w:val="00ED308E"/>
    <w:rsid w:val="00EE2502"/>
    <w:rsid w:val="00F219EE"/>
    <w:rsid w:val="00F26FE0"/>
    <w:rsid w:val="00F2742E"/>
    <w:rsid w:val="00F34727"/>
    <w:rsid w:val="00F356D3"/>
    <w:rsid w:val="00F3739A"/>
    <w:rsid w:val="00F42B77"/>
    <w:rsid w:val="00F46FDD"/>
    <w:rsid w:val="00F975CE"/>
    <w:rsid w:val="00FA1FE5"/>
    <w:rsid w:val="00FB215D"/>
    <w:rsid w:val="00FC0A94"/>
    <w:rsid w:val="00FD0C6D"/>
    <w:rsid w:val="00FF1C37"/>
    <w:rsid w:val="00FF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2475"/>
  <w15:chartTrackingRefBased/>
  <w15:docId w15:val="{554D8CC1-7B58-44D3-8F59-09AC7A56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C70"/>
    <w:pPr>
      <w:spacing w:after="0"/>
      <w:jc w:val="both"/>
      <w:outlineLvl w:val="0"/>
    </w:pPr>
    <w:rPr>
      <w:rFonts w:ascii="Impact" w:hAnsi="Impact"/>
      <w:color w:val="34A161"/>
      <w:sz w:val="36"/>
    </w:rPr>
  </w:style>
  <w:style w:type="paragraph" w:styleId="Heading2">
    <w:name w:val="heading 2"/>
    <w:basedOn w:val="Default"/>
    <w:next w:val="Normal"/>
    <w:link w:val="Heading2Char"/>
    <w:uiPriority w:val="9"/>
    <w:unhideWhenUsed/>
    <w:qFormat/>
    <w:rsid w:val="00A40C70"/>
    <w:pPr>
      <w:jc w:val="both"/>
      <w:outlineLvl w:val="1"/>
    </w:pPr>
    <w:rPr>
      <w:rFonts w:ascii="Impact" w:hAnsi="Impact" w:cstheme="minorBidi"/>
      <w:color w:val="34A161"/>
      <w:sz w:val="28"/>
      <w:szCs w:val="22"/>
    </w:rPr>
  </w:style>
  <w:style w:type="paragraph" w:styleId="Heading3">
    <w:name w:val="heading 3"/>
    <w:basedOn w:val="Normal"/>
    <w:next w:val="Normal"/>
    <w:link w:val="Heading3Char"/>
    <w:uiPriority w:val="9"/>
    <w:semiHidden/>
    <w:unhideWhenUsed/>
    <w:qFormat/>
    <w:rsid w:val="00770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44D"/>
    <w:rPr>
      <w:color w:val="0563C1" w:themeColor="hyperlink"/>
      <w:u w:val="single"/>
    </w:rPr>
  </w:style>
  <w:style w:type="character" w:customStyle="1" w:styleId="Heading1Char">
    <w:name w:val="Heading 1 Char"/>
    <w:basedOn w:val="DefaultParagraphFont"/>
    <w:link w:val="Heading1"/>
    <w:uiPriority w:val="9"/>
    <w:rsid w:val="00A40C70"/>
    <w:rPr>
      <w:rFonts w:ascii="Impact" w:hAnsi="Impact"/>
      <w:color w:val="34A161"/>
      <w:sz w:val="36"/>
    </w:rPr>
  </w:style>
  <w:style w:type="character" w:customStyle="1" w:styleId="Heading2Char">
    <w:name w:val="Heading 2 Char"/>
    <w:basedOn w:val="DefaultParagraphFont"/>
    <w:link w:val="Heading2"/>
    <w:uiPriority w:val="9"/>
    <w:rsid w:val="00A40C70"/>
    <w:rPr>
      <w:rFonts w:ascii="Impact" w:hAnsi="Impact"/>
      <w:color w:val="34A161"/>
      <w:sz w:val="28"/>
    </w:r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04144D"/>
    <w:pPr>
      <w:spacing w:after="0" w:line="240" w:lineRule="auto"/>
      <w:ind w:left="720"/>
    </w:pPr>
    <w:rPr>
      <w:rFonts w:ascii="Calibri" w:hAnsi="Calibri" w:cs="Times New Roman"/>
      <w:lang w:eastAsia="en-GB"/>
    </w:rPr>
  </w:style>
  <w:style w:type="paragraph" w:customStyle="1" w:styleId="Default">
    <w:name w:val="Default"/>
    <w:rsid w:val="00C265C4"/>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53B9D"/>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753B9D"/>
  </w:style>
  <w:style w:type="character" w:styleId="FollowedHyperlink">
    <w:name w:val="FollowedHyperlink"/>
    <w:basedOn w:val="DefaultParagraphFont"/>
    <w:uiPriority w:val="99"/>
    <w:semiHidden/>
    <w:unhideWhenUsed/>
    <w:rsid w:val="00416B17"/>
    <w:rPr>
      <w:color w:val="954F72" w:themeColor="followedHyperlink"/>
      <w:u w:val="single"/>
    </w:rPr>
  </w:style>
  <w:style w:type="paragraph" w:customStyle="1" w:styleId="p1">
    <w:name w:val="p1"/>
    <w:basedOn w:val="Normal"/>
    <w:rsid w:val="002E483E"/>
    <w:pPr>
      <w:spacing w:after="0" w:line="240" w:lineRule="auto"/>
    </w:pPr>
    <w:rPr>
      <w:rFonts w:ascii=".SF UI Text" w:eastAsia="Calibri" w:hAnsi=".SF UI Text" w:cs="Times New Roman"/>
      <w:color w:val="454545"/>
      <w:sz w:val="26"/>
      <w:szCs w:val="26"/>
      <w:lang w:eastAsia="en-GB"/>
    </w:rPr>
  </w:style>
  <w:style w:type="character" w:customStyle="1" w:styleId="apple-tab-span">
    <w:name w:val="apple-tab-span"/>
    <w:rsid w:val="002E483E"/>
  </w:style>
  <w:style w:type="character" w:customStyle="1" w:styleId="spellingerror">
    <w:name w:val="spellingerror"/>
    <w:basedOn w:val="DefaultParagraphFont"/>
    <w:rsid w:val="00F34727"/>
  </w:style>
  <w:style w:type="character" w:customStyle="1" w:styleId="normaltextrun1">
    <w:name w:val="normaltextrun1"/>
    <w:basedOn w:val="DefaultParagraphFont"/>
    <w:rsid w:val="00F34727"/>
  </w:style>
  <w:style w:type="character" w:customStyle="1" w:styleId="eop">
    <w:name w:val="eop"/>
    <w:basedOn w:val="DefaultParagraphFont"/>
    <w:rsid w:val="00F34727"/>
  </w:style>
  <w:style w:type="paragraph" w:styleId="Header">
    <w:name w:val="header"/>
    <w:basedOn w:val="Normal"/>
    <w:link w:val="HeaderChar"/>
    <w:unhideWhenUsed/>
    <w:rsid w:val="009C0340"/>
    <w:pPr>
      <w:tabs>
        <w:tab w:val="center" w:pos="4513"/>
        <w:tab w:val="right" w:pos="9026"/>
      </w:tabs>
      <w:spacing w:after="0" w:line="240" w:lineRule="auto"/>
    </w:pPr>
  </w:style>
  <w:style w:type="character" w:customStyle="1" w:styleId="HeaderChar">
    <w:name w:val="Header Char"/>
    <w:basedOn w:val="DefaultParagraphFont"/>
    <w:link w:val="Header"/>
    <w:rsid w:val="009C0340"/>
  </w:style>
  <w:style w:type="paragraph" w:styleId="Footer">
    <w:name w:val="footer"/>
    <w:basedOn w:val="Normal"/>
    <w:link w:val="FooterChar"/>
    <w:uiPriority w:val="99"/>
    <w:unhideWhenUsed/>
    <w:rsid w:val="009C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40"/>
  </w:style>
  <w:style w:type="character" w:customStyle="1" w:styleId="legamendingtext">
    <w:name w:val="legamendingtext"/>
    <w:basedOn w:val="DefaultParagraphFont"/>
    <w:rsid w:val="00EB547D"/>
  </w:style>
  <w:style w:type="character" w:styleId="CommentReference">
    <w:name w:val="annotation reference"/>
    <w:basedOn w:val="DefaultParagraphFont"/>
    <w:uiPriority w:val="99"/>
    <w:semiHidden/>
    <w:unhideWhenUsed/>
    <w:rsid w:val="004F37C6"/>
    <w:rPr>
      <w:sz w:val="16"/>
      <w:szCs w:val="16"/>
    </w:rPr>
  </w:style>
  <w:style w:type="paragraph" w:styleId="CommentText">
    <w:name w:val="annotation text"/>
    <w:basedOn w:val="Normal"/>
    <w:link w:val="CommentTextChar"/>
    <w:uiPriority w:val="99"/>
    <w:semiHidden/>
    <w:unhideWhenUsed/>
    <w:rsid w:val="004F37C6"/>
    <w:pPr>
      <w:spacing w:line="240" w:lineRule="auto"/>
    </w:pPr>
    <w:rPr>
      <w:sz w:val="20"/>
      <w:szCs w:val="20"/>
    </w:rPr>
  </w:style>
  <w:style w:type="character" w:customStyle="1" w:styleId="CommentTextChar">
    <w:name w:val="Comment Text Char"/>
    <w:basedOn w:val="DefaultParagraphFont"/>
    <w:link w:val="CommentText"/>
    <w:uiPriority w:val="99"/>
    <w:semiHidden/>
    <w:rsid w:val="004F37C6"/>
    <w:rPr>
      <w:sz w:val="20"/>
      <w:szCs w:val="20"/>
    </w:rPr>
  </w:style>
  <w:style w:type="paragraph" w:styleId="CommentSubject">
    <w:name w:val="annotation subject"/>
    <w:basedOn w:val="CommentText"/>
    <w:next w:val="CommentText"/>
    <w:link w:val="CommentSubjectChar"/>
    <w:uiPriority w:val="99"/>
    <w:semiHidden/>
    <w:unhideWhenUsed/>
    <w:rsid w:val="004F37C6"/>
    <w:rPr>
      <w:b/>
      <w:bCs/>
    </w:rPr>
  </w:style>
  <w:style w:type="character" w:customStyle="1" w:styleId="CommentSubjectChar">
    <w:name w:val="Comment Subject Char"/>
    <w:basedOn w:val="CommentTextChar"/>
    <w:link w:val="CommentSubject"/>
    <w:uiPriority w:val="99"/>
    <w:semiHidden/>
    <w:rsid w:val="004F37C6"/>
    <w:rPr>
      <w:b/>
      <w:bCs/>
      <w:sz w:val="20"/>
      <w:szCs w:val="20"/>
    </w:rPr>
  </w:style>
  <w:style w:type="paragraph" w:styleId="BalloonText">
    <w:name w:val="Balloon Text"/>
    <w:basedOn w:val="Normal"/>
    <w:link w:val="BalloonTextChar"/>
    <w:uiPriority w:val="99"/>
    <w:semiHidden/>
    <w:unhideWhenUsed/>
    <w:rsid w:val="004F3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7C6"/>
    <w:rPr>
      <w:rFonts w:ascii="Segoe UI" w:hAnsi="Segoe UI" w:cs="Segoe UI"/>
      <w:sz w:val="18"/>
      <w:szCs w:val="18"/>
    </w:rPr>
  </w:style>
  <w:style w:type="paragraph" w:customStyle="1" w:styleId="legp2paratext1">
    <w:name w:val="legp2paratext1"/>
    <w:basedOn w:val="Normal"/>
    <w:uiPriority w:val="99"/>
    <w:rsid w:val="00413A3D"/>
    <w:pPr>
      <w:shd w:val="clear" w:color="auto" w:fill="FFFFFF"/>
      <w:spacing w:after="120" w:line="360" w:lineRule="atLeast"/>
      <w:ind w:firstLine="240"/>
      <w:jc w:val="both"/>
    </w:pPr>
    <w:rPr>
      <w:rFonts w:ascii="Times New Roman" w:hAnsi="Times New Roman" w:cs="Times New Roman"/>
      <w:color w:val="494949"/>
      <w:sz w:val="19"/>
      <w:szCs w:val="19"/>
      <w:lang w:eastAsia="en-GB"/>
    </w:rPr>
  </w:style>
  <w:style w:type="paragraph" w:customStyle="1" w:styleId="legclearfix2">
    <w:name w:val="legclearfix2"/>
    <w:basedOn w:val="Normal"/>
    <w:uiPriority w:val="99"/>
    <w:rsid w:val="00413A3D"/>
    <w:pPr>
      <w:shd w:val="clear" w:color="auto" w:fill="FFFFFF"/>
      <w:spacing w:after="120" w:line="360" w:lineRule="atLeast"/>
    </w:pPr>
    <w:rPr>
      <w:rFonts w:ascii="Times New Roman" w:hAnsi="Times New Roman" w:cs="Times New Roman"/>
      <w:color w:val="494949"/>
      <w:sz w:val="19"/>
      <w:szCs w:val="19"/>
      <w:lang w:eastAsia="en-GB"/>
    </w:rPr>
  </w:style>
  <w:style w:type="character" w:customStyle="1" w:styleId="legds2">
    <w:name w:val="legds2"/>
    <w:basedOn w:val="DefaultParagraphFont"/>
    <w:rsid w:val="00413A3D"/>
  </w:style>
  <w:style w:type="table" w:styleId="TableGrid">
    <w:name w:val="Table Grid"/>
    <w:basedOn w:val="TableNormal"/>
    <w:uiPriority w:val="39"/>
    <w:rsid w:val="00FF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F1F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5D17F0"/>
    <w:rPr>
      <w:rFonts w:ascii="Calibri" w:hAnsi="Calibri" w:cs="Times New Roman"/>
      <w:lang w:eastAsia="en-GB"/>
    </w:rPr>
  </w:style>
  <w:style w:type="paragraph" w:styleId="FootnoteText">
    <w:name w:val="footnote text"/>
    <w:basedOn w:val="Normal"/>
    <w:link w:val="FootnoteTextChar"/>
    <w:uiPriority w:val="99"/>
    <w:semiHidden/>
    <w:unhideWhenUsed/>
    <w:rsid w:val="00F26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E0"/>
    <w:rPr>
      <w:sz w:val="20"/>
      <w:szCs w:val="20"/>
    </w:rPr>
  </w:style>
  <w:style w:type="character" w:styleId="FootnoteReference">
    <w:name w:val="footnote reference"/>
    <w:basedOn w:val="DefaultParagraphFont"/>
    <w:uiPriority w:val="99"/>
    <w:semiHidden/>
    <w:unhideWhenUsed/>
    <w:rsid w:val="00F26FE0"/>
    <w:rPr>
      <w:vertAlign w:val="superscript"/>
    </w:rPr>
  </w:style>
  <w:style w:type="character" w:customStyle="1" w:styleId="Heading3Char">
    <w:name w:val="Heading 3 Char"/>
    <w:basedOn w:val="DefaultParagraphFont"/>
    <w:link w:val="Heading3"/>
    <w:uiPriority w:val="9"/>
    <w:semiHidden/>
    <w:rsid w:val="007704F9"/>
    <w:rPr>
      <w:rFonts w:asciiTheme="majorHAnsi" w:eastAsiaTheme="majorEastAsia" w:hAnsiTheme="majorHAnsi" w:cstheme="majorBidi"/>
      <w:color w:val="1F4D78" w:themeColor="accent1" w:themeShade="7F"/>
      <w:sz w:val="24"/>
      <w:szCs w:val="24"/>
    </w:rPr>
  </w:style>
  <w:style w:type="table" w:styleId="GridTable4-Accent2">
    <w:name w:val="Grid Table 4 Accent 2"/>
    <w:basedOn w:val="TableNormal"/>
    <w:uiPriority w:val="49"/>
    <w:rsid w:val="007E6E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8F57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21">
    <w:name w:val="Grid Table 7 Colorful - Accent 21"/>
    <w:basedOn w:val="TableNormal"/>
    <w:next w:val="GridTable7Colorful-Accent2"/>
    <w:uiPriority w:val="52"/>
    <w:rsid w:val="006460F8"/>
    <w:pPr>
      <w:spacing w:after="0" w:line="240" w:lineRule="auto"/>
    </w:pPr>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7Colorful-Accent2">
    <w:name w:val="Grid Table 7 Colorful Accent 2"/>
    <w:basedOn w:val="TableNormal"/>
    <w:uiPriority w:val="52"/>
    <w:rsid w:val="006460F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6">
    <w:name w:val="Grid Table 2 Accent 6"/>
    <w:basedOn w:val="TableNormal"/>
    <w:uiPriority w:val="47"/>
    <w:rsid w:val="006460F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21">
    <w:name w:val="List Table 2 - Accent 21"/>
    <w:basedOn w:val="TableNormal"/>
    <w:next w:val="ListTable2-Accent2"/>
    <w:uiPriority w:val="47"/>
    <w:rsid w:val="006460F8"/>
    <w:pPr>
      <w:spacing w:after="0" w:line="240" w:lineRule="auto"/>
    </w:p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2">
    <w:name w:val="List Table 2 Accent 2"/>
    <w:basedOn w:val="TableNormal"/>
    <w:uiPriority w:val="47"/>
    <w:rsid w:val="006460F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CD61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Caption">
    <w:name w:val="caption"/>
    <w:basedOn w:val="Normal"/>
    <w:next w:val="Normal"/>
    <w:uiPriority w:val="35"/>
    <w:unhideWhenUsed/>
    <w:qFormat/>
    <w:rsid w:val="00034ABC"/>
    <w:pPr>
      <w:spacing w:after="200" w:line="240" w:lineRule="auto"/>
    </w:pPr>
    <w:rPr>
      <w:rFonts w:ascii="Arial" w:hAnsi="Arial"/>
      <w:iCs/>
      <w:sz w:val="24"/>
      <w:szCs w:val="18"/>
    </w:rPr>
  </w:style>
  <w:style w:type="paragraph" w:styleId="Revision">
    <w:name w:val="Revision"/>
    <w:hidden/>
    <w:uiPriority w:val="99"/>
    <w:semiHidden/>
    <w:rsid w:val="00680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3537">
      <w:bodyDiv w:val="1"/>
      <w:marLeft w:val="0"/>
      <w:marRight w:val="0"/>
      <w:marTop w:val="0"/>
      <w:marBottom w:val="0"/>
      <w:divBdr>
        <w:top w:val="none" w:sz="0" w:space="0" w:color="auto"/>
        <w:left w:val="none" w:sz="0" w:space="0" w:color="auto"/>
        <w:bottom w:val="none" w:sz="0" w:space="0" w:color="auto"/>
        <w:right w:val="none" w:sz="0" w:space="0" w:color="auto"/>
      </w:divBdr>
    </w:div>
    <w:div w:id="77017517">
      <w:bodyDiv w:val="1"/>
      <w:marLeft w:val="0"/>
      <w:marRight w:val="0"/>
      <w:marTop w:val="0"/>
      <w:marBottom w:val="0"/>
      <w:divBdr>
        <w:top w:val="none" w:sz="0" w:space="0" w:color="auto"/>
        <w:left w:val="none" w:sz="0" w:space="0" w:color="auto"/>
        <w:bottom w:val="none" w:sz="0" w:space="0" w:color="auto"/>
        <w:right w:val="none" w:sz="0" w:space="0" w:color="auto"/>
      </w:divBdr>
    </w:div>
    <w:div w:id="140001145">
      <w:bodyDiv w:val="1"/>
      <w:marLeft w:val="0"/>
      <w:marRight w:val="0"/>
      <w:marTop w:val="0"/>
      <w:marBottom w:val="0"/>
      <w:divBdr>
        <w:top w:val="none" w:sz="0" w:space="0" w:color="auto"/>
        <w:left w:val="none" w:sz="0" w:space="0" w:color="auto"/>
        <w:bottom w:val="none" w:sz="0" w:space="0" w:color="auto"/>
        <w:right w:val="none" w:sz="0" w:space="0" w:color="auto"/>
      </w:divBdr>
    </w:div>
    <w:div w:id="140393517">
      <w:bodyDiv w:val="1"/>
      <w:marLeft w:val="0"/>
      <w:marRight w:val="0"/>
      <w:marTop w:val="0"/>
      <w:marBottom w:val="0"/>
      <w:divBdr>
        <w:top w:val="none" w:sz="0" w:space="0" w:color="auto"/>
        <w:left w:val="none" w:sz="0" w:space="0" w:color="auto"/>
        <w:bottom w:val="none" w:sz="0" w:space="0" w:color="auto"/>
        <w:right w:val="none" w:sz="0" w:space="0" w:color="auto"/>
      </w:divBdr>
    </w:div>
    <w:div w:id="210074164">
      <w:bodyDiv w:val="1"/>
      <w:marLeft w:val="0"/>
      <w:marRight w:val="0"/>
      <w:marTop w:val="0"/>
      <w:marBottom w:val="0"/>
      <w:divBdr>
        <w:top w:val="none" w:sz="0" w:space="0" w:color="auto"/>
        <w:left w:val="none" w:sz="0" w:space="0" w:color="auto"/>
        <w:bottom w:val="none" w:sz="0" w:space="0" w:color="auto"/>
        <w:right w:val="none" w:sz="0" w:space="0" w:color="auto"/>
      </w:divBdr>
      <w:divsChild>
        <w:div w:id="1794590329">
          <w:marLeft w:val="274"/>
          <w:marRight w:val="0"/>
          <w:marTop w:val="240"/>
          <w:marBottom w:val="0"/>
          <w:divBdr>
            <w:top w:val="none" w:sz="0" w:space="0" w:color="auto"/>
            <w:left w:val="none" w:sz="0" w:space="0" w:color="auto"/>
            <w:bottom w:val="none" w:sz="0" w:space="0" w:color="auto"/>
            <w:right w:val="none" w:sz="0" w:space="0" w:color="auto"/>
          </w:divBdr>
        </w:div>
        <w:div w:id="975141483">
          <w:marLeft w:val="274"/>
          <w:marRight w:val="0"/>
          <w:marTop w:val="240"/>
          <w:marBottom w:val="0"/>
          <w:divBdr>
            <w:top w:val="none" w:sz="0" w:space="0" w:color="auto"/>
            <w:left w:val="none" w:sz="0" w:space="0" w:color="auto"/>
            <w:bottom w:val="none" w:sz="0" w:space="0" w:color="auto"/>
            <w:right w:val="none" w:sz="0" w:space="0" w:color="auto"/>
          </w:divBdr>
        </w:div>
        <w:div w:id="423502766">
          <w:marLeft w:val="274"/>
          <w:marRight w:val="0"/>
          <w:marTop w:val="240"/>
          <w:marBottom w:val="0"/>
          <w:divBdr>
            <w:top w:val="none" w:sz="0" w:space="0" w:color="auto"/>
            <w:left w:val="none" w:sz="0" w:space="0" w:color="auto"/>
            <w:bottom w:val="none" w:sz="0" w:space="0" w:color="auto"/>
            <w:right w:val="none" w:sz="0" w:space="0" w:color="auto"/>
          </w:divBdr>
        </w:div>
        <w:div w:id="1192452546">
          <w:marLeft w:val="274"/>
          <w:marRight w:val="0"/>
          <w:marTop w:val="240"/>
          <w:marBottom w:val="0"/>
          <w:divBdr>
            <w:top w:val="none" w:sz="0" w:space="0" w:color="auto"/>
            <w:left w:val="none" w:sz="0" w:space="0" w:color="auto"/>
            <w:bottom w:val="none" w:sz="0" w:space="0" w:color="auto"/>
            <w:right w:val="none" w:sz="0" w:space="0" w:color="auto"/>
          </w:divBdr>
        </w:div>
        <w:div w:id="113981331">
          <w:marLeft w:val="806"/>
          <w:marRight w:val="0"/>
          <w:marTop w:val="75"/>
          <w:marBottom w:val="0"/>
          <w:divBdr>
            <w:top w:val="none" w:sz="0" w:space="0" w:color="auto"/>
            <w:left w:val="none" w:sz="0" w:space="0" w:color="auto"/>
            <w:bottom w:val="none" w:sz="0" w:space="0" w:color="auto"/>
            <w:right w:val="none" w:sz="0" w:space="0" w:color="auto"/>
          </w:divBdr>
        </w:div>
        <w:div w:id="1721321998">
          <w:marLeft w:val="806"/>
          <w:marRight w:val="0"/>
          <w:marTop w:val="75"/>
          <w:marBottom w:val="0"/>
          <w:divBdr>
            <w:top w:val="none" w:sz="0" w:space="0" w:color="auto"/>
            <w:left w:val="none" w:sz="0" w:space="0" w:color="auto"/>
            <w:bottom w:val="none" w:sz="0" w:space="0" w:color="auto"/>
            <w:right w:val="none" w:sz="0" w:space="0" w:color="auto"/>
          </w:divBdr>
        </w:div>
      </w:divsChild>
    </w:div>
    <w:div w:id="224921532">
      <w:bodyDiv w:val="1"/>
      <w:marLeft w:val="0"/>
      <w:marRight w:val="0"/>
      <w:marTop w:val="0"/>
      <w:marBottom w:val="0"/>
      <w:divBdr>
        <w:top w:val="none" w:sz="0" w:space="0" w:color="auto"/>
        <w:left w:val="none" w:sz="0" w:space="0" w:color="auto"/>
        <w:bottom w:val="none" w:sz="0" w:space="0" w:color="auto"/>
        <w:right w:val="none" w:sz="0" w:space="0" w:color="auto"/>
      </w:divBdr>
    </w:div>
    <w:div w:id="272447071">
      <w:bodyDiv w:val="1"/>
      <w:marLeft w:val="0"/>
      <w:marRight w:val="0"/>
      <w:marTop w:val="0"/>
      <w:marBottom w:val="0"/>
      <w:divBdr>
        <w:top w:val="none" w:sz="0" w:space="0" w:color="auto"/>
        <w:left w:val="none" w:sz="0" w:space="0" w:color="auto"/>
        <w:bottom w:val="none" w:sz="0" w:space="0" w:color="auto"/>
        <w:right w:val="none" w:sz="0" w:space="0" w:color="auto"/>
      </w:divBdr>
    </w:div>
    <w:div w:id="362441480">
      <w:bodyDiv w:val="1"/>
      <w:marLeft w:val="0"/>
      <w:marRight w:val="0"/>
      <w:marTop w:val="0"/>
      <w:marBottom w:val="0"/>
      <w:divBdr>
        <w:top w:val="none" w:sz="0" w:space="0" w:color="auto"/>
        <w:left w:val="none" w:sz="0" w:space="0" w:color="auto"/>
        <w:bottom w:val="none" w:sz="0" w:space="0" w:color="auto"/>
        <w:right w:val="none" w:sz="0" w:space="0" w:color="auto"/>
      </w:divBdr>
    </w:div>
    <w:div w:id="398093306">
      <w:bodyDiv w:val="1"/>
      <w:marLeft w:val="0"/>
      <w:marRight w:val="0"/>
      <w:marTop w:val="0"/>
      <w:marBottom w:val="0"/>
      <w:divBdr>
        <w:top w:val="none" w:sz="0" w:space="0" w:color="auto"/>
        <w:left w:val="none" w:sz="0" w:space="0" w:color="auto"/>
        <w:bottom w:val="none" w:sz="0" w:space="0" w:color="auto"/>
        <w:right w:val="none" w:sz="0" w:space="0" w:color="auto"/>
      </w:divBdr>
    </w:div>
    <w:div w:id="488058919">
      <w:bodyDiv w:val="1"/>
      <w:marLeft w:val="0"/>
      <w:marRight w:val="0"/>
      <w:marTop w:val="0"/>
      <w:marBottom w:val="0"/>
      <w:divBdr>
        <w:top w:val="none" w:sz="0" w:space="0" w:color="auto"/>
        <w:left w:val="none" w:sz="0" w:space="0" w:color="auto"/>
        <w:bottom w:val="none" w:sz="0" w:space="0" w:color="auto"/>
        <w:right w:val="none" w:sz="0" w:space="0" w:color="auto"/>
      </w:divBdr>
    </w:div>
    <w:div w:id="522862638">
      <w:bodyDiv w:val="1"/>
      <w:marLeft w:val="0"/>
      <w:marRight w:val="0"/>
      <w:marTop w:val="0"/>
      <w:marBottom w:val="0"/>
      <w:divBdr>
        <w:top w:val="none" w:sz="0" w:space="0" w:color="auto"/>
        <w:left w:val="none" w:sz="0" w:space="0" w:color="auto"/>
        <w:bottom w:val="none" w:sz="0" w:space="0" w:color="auto"/>
        <w:right w:val="none" w:sz="0" w:space="0" w:color="auto"/>
      </w:divBdr>
    </w:div>
    <w:div w:id="669142968">
      <w:bodyDiv w:val="1"/>
      <w:marLeft w:val="0"/>
      <w:marRight w:val="0"/>
      <w:marTop w:val="0"/>
      <w:marBottom w:val="0"/>
      <w:divBdr>
        <w:top w:val="none" w:sz="0" w:space="0" w:color="auto"/>
        <w:left w:val="none" w:sz="0" w:space="0" w:color="auto"/>
        <w:bottom w:val="none" w:sz="0" w:space="0" w:color="auto"/>
        <w:right w:val="none" w:sz="0" w:space="0" w:color="auto"/>
      </w:divBdr>
    </w:div>
    <w:div w:id="788549288">
      <w:bodyDiv w:val="1"/>
      <w:marLeft w:val="0"/>
      <w:marRight w:val="0"/>
      <w:marTop w:val="0"/>
      <w:marBottom w:val="0"/>
      <w:divBdr>
        <w:top w:val="none" w:sz="0" w:space="0" w:color="auto"/>
        <w:left w:val="none" w:sz="0" w:space="0" w:color="auto"/>
        <w:bottom w:val="none" w:sz="0" w:space="0" w:color="auto"/>
        <w:right w:val="none" w:sz="0" w:space="0" w:color="auto"/>
      </w:divBdr>
    </w:div>
    <w:div w:id="798911328">
      <w:bodyDiv w:val="1"/>
      <w:marLeft w:val="0"/>
      <w:marRight w:val="0"/>
      <w:marTop w:val="0"/>
      <w:marBottom w:val="0"/>
      <w:divBdr>
        <w:top w:val="none" w:sz="0" w:space="0" w:color="auto"/>
        <w:left w:val="none" w:sz="0" w:space="0" w:color="auto"/>
        <w:bottom w:val="none" w:sz="0" w:space="0" w:color="auto"/>
        <w:right w:val="none" w:sz="0" w:space="0" w:color="auto"/>
      </w:divBdr>
    </w:div>
    <w:div w:id="914556501">
      <w:bodyDiv w:val="1"/>
      <w:marLeft w:val="0"/>
      <w:marRight w:val="0"/>
      <w:marTop w:val="0"/>
      <w:marBottom w:val="0"/>
      <w:divBdr>
        <w:top w:val="none" w:sz="0" w:space="0" w:color="auto"/>
        <w:left w:val="none" w:sz="0" w:space="0" w:color="auto"/>
        <w:bottom w:val="none" w:sz="0" w:space="0" w:color="auto"/>
        <w:right w:val="none" w:sz="0" w:space="0" w:color="auto"/>
      </w:divBdr>
    </w:div>
    <w:div w:id="1012754972">
      <w:bodyDiv w:val="1"/>
      <w:marLeft w:val="0"/>
      <w:marRight w:val="0"/>
      <w:marTop w:val="0"/>
      <w:marBottom w:val="0"/>
      <w:divBdr>
        <w:top w:val="none" w:sz="0" w:space="0" w:color="auto"/>
        <w:left w:val="none" w:sz="0" w:space="0" w:color="auto"/>
        <w:bottom w:val="none" w:sz="0" w:space="0" w:color="auto"/>
        <w:right w:val="none" w:sz="0" w:space="0" w:color="auto"/>
      </w:divBdr>
    </w:div>
    <w:div w:id="1035425405">
      <w:bodyDiv w:val="1"/>
      <w:marLeft w:val="0"/>
      <w:marRight w:val="0"/>
      <w:marTop w:val="0"/>
      <w:marBottom w:val="0"/>
      <w:divBdr>
        <w:top w:val="none" w:sz="0" w:space="0" w:color="auto"/>
        <w:left w:val="none" w:sz="0" w:space="0" w:color="auto"/>
        <w:bottom w:val="none" w:sz="0" w:space="0" w:color="auto"/>
        <w:right w:val="none" w:sz="0" w:space="0" w:color="auto"/>
      </w:divBdr>
    </w:div>
    <w:div w:id="1075317904">
      <w:bodyDiv w:val="1"/>
      <w:marLeft w:val="0"/>
      <w:marRight w:val="0"/>
      <w:marTop w:val="0"/>
      <w:marBottom w:val="0"/>
      <w:divBdr>
        <w:top w:val="none" w:sz="0" w:space="0" w:color="auto"/>
        <w:left w:val="none" w:sz="0" w:space="0" w:color="auto"/>
        <w:bottom w:val="none" w:sz="0" w:space="0" w:color="auto"/>
        <w:right w:val="none" w:sz="0" w:space="0" w:color="auto"/>
      </w:divBdr>
    </w:div>
    <w:div w:id="1135411516">
      <w:bodyDiv w:val="1"/>
      <w:marLeft w:val="0"/>
      <w:marRight w:val="0"/>
      <w:marTop w:val="0"/>
      <w:marBottom w:val="0"/>
      <w:divBdr>
        <w:top w:val="none" w:sz="0" w:space="0" w:color="auto"/>
        <w:left w:val="none" w:sz="0" w:space="0" w:color="auto"/>
        <w:bottom w:val="none" w:sz="0" w:space="0" w:color="auto"/>
        <w:right w:val="none" w:sz="0" w:space="0" w:color="auto"/>
      </w:divBdr>
    </w:div>
    <w:div w:id="1146438859">
      <w:bodyDiv w:val="1"/>
      <w:marLeft w:val="0"/>
      <w:marRight w:val="0"/>
      <w:marTop w:val="0"/>
      <w:marBottom w:val="0"/>
      <w:divBdr>
        <w:top w:val="none" w:sz="0" w:space="0" w:color="auto"/>
        <w:left w:val="none" w:sz="0" w:space="0" w:color="auto"/>
        <w:bottom w:val="none" w:sz="0" w:space="0" w:color="auto"/>
        <w:right w:val="none" w:sz="0" w:space="0" w:color="auto"/>
      </w:divBdr>
    </w:div>
    <w:div w:id="1226330995">
      <w:bodyDiv w:val="1"/>
      <w:marLeft w:val="0"/>
      <w:marRight w:val="0"/>
      <w:marTop w:val="0"/>
      <w:marBottom w:val="0"/>
      <w:divBdr>
        <w:top w:val="none" w:sz="0" w:space="0" w:color="auto"/>
        <w:left w:val="none" w:sz="0" w:space="0" w:color="auto"/>
        <w:bottom w:val="none" w:sz="0" w:space="0" w:color="auto"/>
        <w:right w:val="none" w:sz="0" w:space="0" w:color="auto"/>
      </w:divBdr>
      <w:divsChild>
        <w:div w:id="133526091">
          <w:marLeft w:val="0"/>
          <w:marRight w:val="0"/>
          <w:marTop w:val="0"/>
          <w:marBottom w:val="0"/>
          <w:divBdr>
            <w:top w:val="none" w:sz="0" w:space="0" w:color="auto"/>
            <w:left w:val="none" w:sz="0" w:space="0" w:color="auto"/>
            <w:bottom w:val="none" w:sz="0" w:space="0" w:color="auto"/>
            <w:right w:val="none" w:sz="0" w:space="0" w:color="auto"/>
          </w:divBdr>
          <w:divsChild>
            <w:div w:id="1759011917">
              <w:marLeft w:val="0"/>
              <w:marRight w:val="0"/>
              <w:marTop w:val="0"/>
              <w:marBottom w:val="0"/>
              <w:divBdr>
                <w:top w:val="none" w:sz="0" w:space="0" w:color="auto"/>
                <w:left w:val="none" w:sz="0" w:space="0" w:color="auto"/>
                <w:bottom w:val="none" w:sz="0" w:space="0" w:color="auto"/>
                <w:right w:val="none" w:sz="0" w:space="0" w:color="auto"/>
              </w:divBdr>
              <w:divsChild>
                <w:div w:id="382678106">
                  <w:marLeft w:val="0"/>
                  <w:marRight w:val="0"/>
                  <w:marTop w:val="0"/>
                  <w:marBottom w:val="0"/>
                  <w:divBdr>
                    <w:top w:val="none" w:sz="0" w:space="0" w:color="auto"/>
                    <w:left w:val="none" w:sz="0" w:space="0" w:color="auto"/>
                    <w:bottom w:val="none" w:sz="0" w:space="0" w:color="auto"/>
                    <w:right w:val="none" w:sz="0" w:space="0" w:color="auto"/>
                  </w:divBdr>
                  <w:divsChild>
                    <w:div w:id="149828312">
                      <w:marLeft w:val="0"/>
                      <w:marRight w:val="0"/>
                      <w:marTop w:val="0"/>
                      <w:marBottom w:val="0"/>
                      <w:divBdr>
                        <w:top w:val="none" w:sz="0" w:space="0" w:color="auto"/>
                        <w:left w:val="none" w:sz="0" w:space="0" w:color="auto"/>
                        <w:bottom w:val="none" w:sz="0" w:space="0" w:color="auto"/>
                        <w:right w:val="none" w:sz="0" w:space="0" w:color="auto"/>
                      </w:divBdr>
                      <w:divsChild>
                        <w:div w:id="18235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81905">
      <w:bodyDiv w:val="1"/>
      <w:marLeft w:val="0"/>
      <w:marRight w:val="0"/>
      <w:marTop w:val="0"/>
      <w:marBottom w:val="0"/>
      <w:divBdr>
        <w:top w:val="none" w:sz="0" w:space="0" w:color="auto"/>
        <w:left w:val="none" w:sz="0" w:space="0" w:color="auto"/>
        <w:bottom w:val="none" w:sz="0" w:space="0" w:color="auto"/>
        <w:right w:val="none" w:sz="0" w:space="0" w:color="auto"/>
      </w:divBdr>
    </w:div>
    <w:div w:id="1424834593">
      <w:bodyDiv w:val="1"/>
      <w:marLeft w:val="0"/>
      <w:marRight w:val="0"/>
      <w:marTop w:val="0"/>
      <w:marBottom w:val="0"/>
      <w:divBdr>
        <w:top w:val="none" w:sz="0" w:space="0" w:color="auto"/>
        <w:left w:val="none" w:sz="0" w:space="0" w:color="auto"/>
        <w:bottom w:val="none" w:sz="0" w:space="0" w:color="auto"/>
        <w:right w:val="none" w:sz="0" w:space="0" w:color="auto"/>
      </w:divBdr>
    </w:div>
    <w:div w:id="1466658585">
      <w:bodyDiv w:val="1"/>
      <w:marLeft w:val="0"/>
      <w:marRight w:val="0"/>
      <w:marTop w:val="0"/>
      <w:marBottom w:val="0"/>
      <w:divBdr>
        <w:top w:val="none" w:sz="0" w:space="0" w:color="auto"/>
        <w:left w:val="none" w:sz="0" w:space="0" w:color="auto"/>
        <w:bottom w:val="none" w:sz="0" w:space="0" w:color="auto"/>
        <w:right w:val="none" w:sz="0" w:space="0" w:color="auto"/>
      </w:divBdr>
    </w:div>
    <w:div w:id="1553233157">
      <w:bodyDiv w:val="1"/>
      <w:marLeft w:val="0"/>
      <w:marRight w:val="0"/>
      <w:marTop w:val="0"/>
      <w:marBottom w:val="0"/>
      <w:divBdr>
        <w:top w:val="none" w:sz="0" w:space="0" w:color="auto"/>
        <w:left w:val="none" w:sz="0" w:space="0" w:color="auto"/>
        <w:bottom w:val="none" w:sz="0" w:space="0" w:color="auto"/>
        <w:right w:val="none" w:sz="0" w:space="0" w:color="auto"/>
      </w:divBdr>
    </w:div>
    <w:div w:id="1575779904">
      <w:bodyDiv w:val="1"/>
      <w:marLeft w:val="0"/>
      <w:marRight w:val="0"/>
      <w:marTop w:val="0"/>
      <w:marBottom w:val="0"/>
      <w:divBdr>
        <w:top w:val="none" w:sz="0" w:space="0" w:color="auto"/>
        <w:left w:val="none" w:sz="0" w:space="0" w:color="auto"/>
        <w:bottom w:val="none" w:sz="0" w:space="0" w:color="auto"/>
        <w:right w:val="none" w:sz="0" w:space="0" w:color="auto"/>
      </w:divBdr>
    </w:div>
    <w:div w:id="1580941749">
      <w:bodyDiv w:val="1"/>
      <w:marLeft w:val="0"/>
      <w:marRight w:val="0"/>
      <w:marTop w:val="0"/>
      <w:marBottom w:val="0"/>
      <w:divBdr>
        <w:top w:val="none" w:sz="0" w:space="0" w:color="auto"/>
        <w:left w:val="none" w:sz="0" w:space="0" w:color="auto"/>
        <w:bottom w:val="none" w:sz="0" w:space="0" w:color="auto"/>
        <w:right w:val="none" w:sz="0" w:space="0" w:color="auto"/>
      </w:divBdr>
    </w:div>
    <w:div w:id="1617760649">
      <w:bodyDiv w:val="1"/>
      <w:marLeft w:val="0"/>
      <w:marRight w:val="0"/>
      <w:marTop w:val="0"/>
      <w:marBottom w:val="0"/>
      <w:divBdr>
        <w:top w:val="none" w:sz="0" w:space="0" w:color="auto"/>
        <w:left w:val="none" w:sz="0" w:space="0" w:color="auto"/>
        <w:bottom w:val="none" w:sz="0" w:space="0" w:color="auto"/>
        <w:right w:val="none" w:sz="0" w:space="0" w:color="auto"/>
      </w:divBdr>
      <w:divsChild>
        <w:div w:id="854196430">
          <w:marLeft w:val="0"/>
          <w:marRight w:val="0"/>
          <w:marTop w:val="0"/>
          <w:marBottom w:val="0"/>
          <w:divBdr>
            <w:top w:val="none" w:sz="0" w:space="0" w:color="auto"/>
            <w:left w:val="none" w:sz="0" w:space="0" w:color="auto"/>
            <w:bottom w:val="none" w:sz="0" w:space="0" w:color="auto"/>
            <w:right w:val="none" w:sz="0" w:space="0" w:color="auto"/>
          </w:divBdr>
          <w:divsChild>
            <w:div w:id="1743483029">
              <w:marLeft w:val="0"/>
              <w:marRight w:val="0"/>
              <w:marTop w:val="0"/>
              <w:marBottom w:val="0"/>
              <w:divBdr>
                <w:top w:val="none" w:sz="0" w:space="0" w:color="auto"/>
                <w:left w:val="none" w:sz="0" w:space="0" w:color="auto"/>
                <w:bottom w:val="none" w:sz="0" w:space="0" w:color="auto"/>
                <w:right w:val="none" w:sz="0" w:space="0" w:color="auto"/>
              </w:divBdr>
              <w:divsChild>
                <w:div w:id="1298678678">
                  <w:marLeft w:val="0"/>
                  <w:marRight w:val="0"/>
                  <w:marTop w:val="0"/>
                  <w:marBottom w:val="0"/>
                  <w:divBdr>
                    <w:top w:val="none" w:sz="0" w:space="0" w:color="auto"/>
                    <w:left w:val="none" w:sz="0" w:space="0" w:color="auto"/>
                    <w:bottom w:val="none" w:sz="0" w:space="0" w:color="auto"/>
                    <w:right w:val="none" w:sz="0" w:space="0" w:color="auto"/>
                  </w:divBdr>
                  <w:divsChild>
                    <w:div w:id="244191835">
                      <w:marLeft w:val="0"/>
                      <w:marRight w:val="0"/>
                      <w:marTop w:val="0"/>
                      <w:marBottom w:val="0"/>
                      <w:divBdr>
                        <w:top w:val="none" w:sz="0" w:space="0" w:color="auto"/>
                        <w:left w:val="none" w:sz="0" w:space="0" w:color="auto"/>
                        <w:bottom w:val="none" w:sz="0" w:space="0" w:color="auto"/>
                        <w:right w:val="none" w:sz="0" w:space="0" w:color="auto"/>
                      </w:divBdr>
                      <w:divsChild>
                        <w:div w:id="323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6136">
      <w:bodyDiv w:val="1"/>
      <w:marLeft w:val="0"/>
      <w:marRight w:val="0"/>
      <w:marTop w:val="0"/>
      <w:marBottom w:val="0"/>
      <w:divBdr>
        <w:top w:val="none" w:sz="0" w:space="0" w:color="auto"/>
        <w:left w:val="none" w:sz="0" w:space="0" w:color="auto"/>
        <w:bottom w:val="none" w:sz="0" w:space="0" w:color="auto"/>
        <w:right w:val="none" w:sz="0" w:space="0" w:color="auto"/>
      </w:divBdr>
      <w:divsChild>
        <w:div w:id="50999982">
          <w:marLeft w:val="0"/>
          <w:marRight w:val="0"/>
          <w:marTop w:val="0"/>
          <w:marBottom w:val="0"/>
          <w:divBdr>
            <w:top w:val="none" w:sz="0" w:space="0" w:color="auto"/>
            <w:left w:val="none" w:sz="0" w:space="0" w:color="auto"/>
            <w:bottom w:val="none" w:sz="0" w:space="0" w:color="auto"/>
            <w:right w:val="none" w:sz="0" w:space="0" w:color="auto"/>
          </w:divBdr>
          <w:divsChild>
            <w:div w:id="1918443339">
              <w:marLeft w:val="0"/>
              <w:marRight w:val="0"/>
              <w:marTop w:val="0"/>
              <w:marBottom w:val="0"/>
              <w:divBdr>
                <w:top w:val="none" w:sz="0" w:space="0" w:color="auto"/>
                <w:left w:val="none" w:sz="0" w:space="0" w:color="auto"/>
                <w:bottom w:val="none" w:sz="0" w:space="0" w:color="auto"/>
                <w:right w:val="none" w:sz="0" w:space="0" w:color="auto"/>
              </w:divBdr>
              <w:divsChild>
                <w:div w:id="1552106801">
                  <w:marLeft w:val="0"/>
                  <w:marRight w:val="0"/>
                  <w:marTop w:val="0"/>
                  <w:marBottom w:val="0"/>
                  <w:divBdr>
                    <w:top w:val="none" w:sz="0" w:space="0" w:color="auto"/>
                    <w:left w:val="none" w:sz="0" w:space="0" w:color="auto"/>
                    <w:bottom w:val="none" w:sz="0" w:space="0" w:color="auto"/>
                    <w:right w:val="none" w:sz="0" w:space="0" w:color="auto"/>
                  </w:divBdr>
                  <w:divsChild>
                    <w:div w:id="693502128">
                      <w:marLeft w:val="0"/>
                      <w:marRight w:val="0"/>
                      <w:marTop w:val="0"/>
                      <w:marBottom w:val="0"/>
                      <w:divBdr>
                        <w:top w:val="none" w:sz="0" w:space="0" w:color="auto"/>
                        <w:left w:val="none" w:sz="0" w:space="0" w:color="auto"/>
                        <w:bottom w:val="none" w:sz="0" w:space="0" w:color="auto"/>
                        <w:right w:val="none" w:sz="0" w:space="0" w:color="auto"/>
                      </w:divBdr>
                      <w:divsChild>
                        <w:div w:id="3610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57633">
      <w:bodyDiv w:val="1"/>
      <w:marLeft w:val="0"/>
      <w:marRight w:val="0"/>
      <w:marTop w:val="0"/>
      <w:marBottom w:val="0"/>
      <w:divBdr>
        <w:top w:val="none" w:sz="0" w:space="0" w:color="auto"/>
        <w:left w:val="none" w:sz="0" w:space="0" w:color="auto"/>
        <w:bottom w:val="none" w:sz="0" w:space="0" w:color="auto"/>
        <w:right w:val="none" w:sz="0" w:space="0" w:color="auto"/>
      </w:divBdr>
    </w:div>
    <w:div w:id="1725834996">
      <w:bodyDiv w:val="1"/>
      <w:marLeft w:val="0"/>
      <w:marRight w:val="0"/>
      <w:marTop w:val="0"/>
      <w:marBottom w:val="0"/>
      <w:divBdr>
        <w:top w:val="none" w:sz="0" w:space="0" w:color="auto"/>
        <w:left w:val="none" w:sz="0" w:space="0" w:color="auto"/>
        <w:bottom w:val="none" w:sz="0" w:space="0" w:color="auto"/>
        <w:right w:val="none" w:sz="0" w:space="0" w:color="auto"/>
      </w:divBdr>
    </w:div>
    <w:div w:id="1779065527">
      <w:bodyDiv w:val="1"/>
      <w:marLeft w:val="0"/>
      <w:marRight w:val="0"/>
      <w:marTop w:val="0"/>
      <w:marBottom w:val="0"/>
      <w:divBdr>
        <w:top w:val="none" w:sz="0" w:space="0" w:color="auto"/>
        <w:left w:val="none" w:sz="0" w:space="0" w:color="auto"/>
        <w:bottom w:val="none" w:sz="0" w:space="0" w:color="auto"/>
        <w:right w:val="none" w:sz="0" w:space="0" w:color="auto"/>
      </w:divBdr>
    </w:div>
    <w:div w:id="1802962318">
      <w:bodyDiv w:val="1"/>
      <w:marLeft w:val="0"/>
      <w:marRight w:val="0"/>
      <w:marTop w:val="0"/>
      <w:marBottom w:val="0"/>
      <w:divBdr>
        <w:top w:val="none" w:sz="0" w:space="0" w:color="auto"/>
        <w:left w:val="none" w:sz="0" w:space="0" w:color="auto"/>
        <w:bottom w:val="none" w:sz="0" w:space="0" w:color="auto"/>
        <w:right w:val="none" w:sz="0" w:space="0" w:color="auto"/>
      </w:divBdr>
      <w:divsChild>
        <w:div w:id="601694039">
          <w:marLeft w:val="0"/>
          <w:marRight w:val="0"/>
          <w:marTop w:val="0"/>
          <w:marBottom w:val="0"/>
          <w:divBdr>
            <w:top w:val="none" w:sz="0" w:space="0" w:color="auto"/>
            <w:left w:val="none" w:sz="0" w:space="0" w:color="auto"/>
            <w:bottom w:val="none" w:sz="0" w:space="0" w:color="auto"/>
            <w:right w:val="none" w:sz="0" w:space="0" w:color="auto"/>
          </w:divBdr>
          <w:divsChild>
            <w:div w:id="338047557">
              <w:marLeft w:val="0"/>
              <w:marRight w:val="0"/>
              <w:marTop w:val="0"/>
              <w:marBottom w:val="0"/>
              <w:divBdr>
                <w:top w:val="none" w:sz="0" w:space="0" w:color="auto"/>
                <w:left w:val="none" w:sz="0" w:space="0" w:color="auto"/>
                <w:bottom w:val="none" w:sz="0" w:space="0" w:color="auto"/>
                <w:right w:val="none" w:sz="0" w:space="0" w:color="auto"/>
              </w:divBdr>
              <w:divsChild>
                <w:div w:id="1316103291">
                  <w:marLeft w:val="0"/>
                  <w:marRight w:val="0"/>
                  <w:marTop w:val="0"/>
                  <w:marBottom w:val="0"/>
                  <w:divBdr>
                    <w:top w:val="none" w:sz="0" w:space="0" w:color="auto"/>
                    <w:left w:val="none" w:sz="0" w:space="0" w:color="auto"/>
                    <w:bottom w:val="none" w:sz="0" w:space="0" w:color="auto"/>
                    <w:right w:val="none" w:sz="0" w:space="0" w:color="auto"/>
                  </w:divBdr>
                  <w:divsChild>
                    <w:div w:id="415441240">
                      <w:marLeft w:val="0"/>
                      <w:marRight w:val="0"/>
                      <w:marTop w:val="0"/>
                      <w:marBottom w:val="0"/>
                      <w:divBdr>
                        <w:top w:val="none" w:sz="0" w:space="0" w:color="auto"/>
                        <w:left w:val="none" w:sz="0" w:space="0" w:color="auto"/>
                        <w:bottom w:val="none" w:sz="0" w:space="0" w:color="auto"/>
                        <w:right w:val="none" w:sz="0" w:space="0" w:color="auto"/>
                      </w:divBdr>
                      <w:divsChild>
                        <w:div w:id="1752777810">
                          <w:marLeft w:val="0"/>
                          <w:marRight w:val="0"/>
                          <w:marTop w:val="0"/>
                          <w:marBottom w:val="0"/>
                          <w:divBdr>
                            <w:top w:val="none" w:sz="0" w:space="0" w:color="auto"/>
                            <w:left w:val="none" w:sz="0" w:space="0" w:color="auto"/>
                            <w:bottom w:val="none" w:sz="0" w:space="0" w:color="auto"/>
                            <w:right w:val="none" w:sz="0" w:space="0" w:color="auto"/>
                          </w:divBdr>
                          <w:divsChild>
                            <w:div w:id="1139955013">
                              <w:marLeft w:val="0"/>
                              <w:marRight w:val="0"/>
                              <w:marTop w:val="0"/>
                              <w:marBottom w:val="0"/>
                              <w:divBdr>
                                <w:top w:val="none" w:sz="0" w:space="0" w:color="auto"/>
                                <w:left w:val="none" w:sz="0" w:space="0" w:color="auto"/>
                                <w:bottom w:val="none" w:sz="0" w:space="0" w:color="auto"/>
                                <w:right w:val="none" w:sz="0" w:space="0" w:color="auto"/>
                              </w:divBdr>
                              <w:divsChild>
                                <w:div w:id="19560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87884">
      <w:bodyDiv w:val="1"/>
      <w:marLeft w:val="0"/>
      <w:marRight w:val="0"/>
      <w:marTop w:val="0"/>
      <w:marBottom w:val="0"/>
      <w:divBdr>
        <w:top w:val="none" w:sz="0" w:space="0" w:color="auto"/>
        <w:left w:val="none" w:sz="0" w:space="0" w:color="auto"/>
        <w:bottom w:val="none" w:sz="0" w:space="0" w:color="auto"/>
        <w:right w:val="none" w:sz="0" w:space="0" w:color="auto"/>
      </w:divBdr>
    </w:div>
    <w:div w:id="1947350709">
      <w:bodyDiv w:val="1"/>
      <w:marLeft w:val="0"/>
      <w:marRight w:val="0"/>
      <w:marTop w:val="0"/>
      <w:marBottom w:val="0"/>
      <w:divBdr>
        <w:top w:val="none" w:sz="0" w:space="0" w:color="auto"/>
        <w:left w:val="none" w:sz="0" w:space="0" w:color="auto"/>
        <w:bottom w:val="none" w:sz="0" w:space="0" w:color="auto"/>
        <w:right w:val="none" w:sz="0" w:space="0" w:color="auto"/>
      </w:divBdr>
    </w:div>
    <w:div w:id="20482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oneyadviceservice.org.uk/en/articles/choosing-a-financial-advi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oneyadviceservice.org.uk/en/articles/choosing-a-financial-advis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ax-on-your-private-pension/lifetime-allow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1" ma:contentTypeDescription="Create a new document." ma:contentTypeScope="" ma:versionID="bdeea48ea1b44394ebef00aeb4edb3bc">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660eae212b935e45fba4a4ce94a09ce"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AD03-76BE-4C4F-B6E4-783E2555C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2FE67-555F-4766-AA97-BD02913D07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4307AC-B604-4548-8C4A-809AFCD0206A}">
  <ds:schemaRefs>
    <ds:schemaRef ds:uri="http://schemas.microsoft.com/sharepoint/v3/contenttype/forms"/>
  </ds:schemaRefs>
</ds:datastoreItem>
</file>

<file path=customXml/itemProps4.xml><?xml version="1.0" encoding="utf-8"?>
<ds:datastoreItem xmlns:ds="http://schemas.openxmlformats.org/officeDocument/2006/customXml" ds:itemID="{2464ADA2-9503-4718-8058-384FF1A0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FPS LTA factsheet 2020 </dc:title>
  <dc:subject/>
  <dc:creator>Claire Hey</dc:creator>
  <cp:keywords/>
  <dc:description/>
  <cp:lastModifiedBy>Claire Hey</cp:lastModifiedBy>
  <cp:revision>13</cp:revision>
  <cp:lastPrinted>2018-02-06T14:25:00Z</cp:lastPrinted>
  <dcterms:created xsi:type="dcterms:W3CDTF">2020-04-17T14:24:00Z</dcterms:created>
  <dcterms:modified xsi:type="dcterms:W3CDTF">2021-02-08T10:07:00Z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